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9.jpeg" ContentType="image/jpeg"/>
  <Override PartName="/word/media/image4.png" ContentType="image/png"/>
  <Override PartName="/word/media/image5.png" ContentType="image/png"/>
  <Override PartName="/word/media/image6.png" ContentType="image/png"/>
  <Override PartName="/word/media/image8.jpeg" ContentType="image/jpeg"/>
  <Override PartName="/word/media/image7.png" ContentType="image/png"/>
  <Override PartName="/word/media/image10.jpeg" ContentType="image/jpe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RGVberschrift1"/>
        <w:spacing w:before="240" w:after="120"/>
        <w:rPr/>
      </w:pPr>
      <w:r>
        <w:rPr/>
        <w:t>Inhaltsverzeichnis</w:t>
      </w:r>
    </w:p>
    <w:sdt>
      <w:sdtPr>
        <w:docPartObj>
          <w:docPartGallery w:val="Table of Contents"/>
          <w:docPartUnique w:val="true"/>
        </w:docPartObj>
      </w:sdtPr>
      <w:sdtContent>
        <w:p>
          <w:pPr>
            <w:pStyle w:val="Verzeichnis11"/>
            <w:tabs>
              <w:tab w:val="clear" w:pos="720"/>
              <w:tab w:val="right" w:pos="9072" w:leader="dot"/>
            </w:tabs>
            <w:rPr/>
          </w:pPr>
          <w:r>
            <w:fldChar w:fldCharType="begin"/>
          </w:r>
          <w:r>
            <w:rPr>
              <w:rStyle w:val="Verzeichnissprung"/>
            </w:rPr>
            <w:instrText> TOC \f \o "1-9" \h</w:instrText>
          </w:r>
          <w:r>
            <w:rPr>
              <w:rStyle w:val="Verzeichnissprung"/>
            </w:rPr>
            <w:fldChar w:fldCharType="separate"/>
          </w:r>
          <w:hyperlink w:anchor="__RefHeading___Toc35583_2500843206">
            <w:r>
              <w:rPr>
                <w:rStyle w:val="Verzeichnissprung"/>
              </w:rPr>
              <w:t>Hinweis</w:t>
              <w:tab/>
              <w:t>2</w:t>
            </w:r>
          </w:hyperlink>
        </w:p>
        <w:p>
          <w:pPr>
            <w:pStyle w:val="Verzeichnis11"/>
            <w:tabs>
              <w:tab w:val="clear" w:pos="720"/>
              <w:tab w:val="right" w:pos="9072" w:leader="dot"/>
            </w:tabs>
            <w:rPr/>
          </w:pPr>
          <w:hyperlink w:anchor="__RefHeading___Toc35587_2500843206">
            <w:r>
              <w:rPr>
                <w:rStyle w:val="Verzeichnissprung"/>
              </w:rPr>
              <w:t>Einführung</w:t>
              <w:tab/>
              <w:t>3</w:t>
            </w:r>
          </w:hyperlink>
        </w:p>
        <w:p>
          <w:pPr>
            <w:pStyle w:val="Verzeichnis11"/>
            <w:tabs>
              <w:tab w:val="clear" w:pos="720"/>
              <w:tab w:val="right" w:pos="9072" w:leader="dot"/>
            </w:tabs>
            <w:rPr/>
          </w:pPr>
          <w:hyperlink w:anchor="__RefHeading___Toc39504_2500843206">
            <w:r>
              <w:rPr>
                <w:rStyle w:val="Verzeichnissprung"/>
              </w:rPr>
              <w:t>Wer kann „solar-aktiv“ werden?</w:t>
              <w:tab/>
              <w:t>3</w:t>
            </w:r>
          </w:hyperlink>
        </w:p>
        <w:p>
          <w:pPr>
            <w:pStyle w:val="Verzeichnis11"/>
            <w:tabs>
              <w:tab w:val="clear" w:pos="720"/>
              <w:tab w:val="right" w:pos="9072" w:leader="dot"/>
            </w:tabs>
            <w:rPr/>
          </w:pPr>
          <w:hyperlink w:anchor="__RefHeading___Toc35589_2500843206">
            <w:r>
              <w:rPr>
                <w:rStyle w:val="Verzeichnissprung"/>
              </w:rPr>
              <w:t>Rentiert sich eine PV-Anlage hier auf meinem Gemündener Dach?</w:t>
              <w:tab/>
              <w:t>3</w:t>
            </w:r>
          </w:hyperlink>
        </w:p>
        <w:p>
          <w:pPr>
            <w:pStyle w:val="Verzeichnis11"/>
            <w:tabs>
              <w:tab w:val="clear" w:pos="720"/>
              <w:tab w:val="right" w:pos="9072" w:leader="dot"/>
            </w:tabs>
            <w:rPr/>
          </w:pPr>
          <w:hyperlink w:anchor="__RefHeading___Toc35591_2500843206">
            <w:r>
              <w:rPr>
                <w:rStyle w:val="Verzeichnissprung"/>
              </w:rPr>
              <w:t>Gibt es ein unabhängiges Rechenprogramm, in dem man die Rentabilität einer Solaranlage überprüfen kann?</w:t>
              <w:tab/>
              <w:t>4</w:t>
            </w:r>
          </w:hyperlink>
        </w:p>
        <w:p>
          <w:pPr>
            <w:pStyle w:val="Verzeichnis11"/>
            <w:tabs>
              <w:tab w:val="clear" w:pos="720"/>
              <w:tab w:val="right" w:pos="9072" w:leader="dot"/>
            </w:tabs>
            <w:rPr/>
          </w:pPr>
          <w:hyperlink w:anchor="__RefHeading___Toc35593_2500843206">
            <w:r>
              <w:rPr>
                <w:rStyle w:val="Verzeichnissprung"/>
              </w:rPr>
              <w:t>Welches Betriebsmodell ist das Richtige für mich?</w:t>
              <w:tab/>
              <w:t>4</w:t>
            </w:r>
          </w:hyperlink>
        </w:p>
        <w:p>
          <w:pPr>
            <w:pStyle w:val="Verzeichnis11"/>
            <w:tabs>
              <w:tab w:val="clear" w:pos="720"/>
              <w:tab w:val="right" w:pos="9072" w:leader="dot"/>
            </w:tabs>
            <w:rPr/>
          </w:pPr>
          <w:hyperlink w:anchor="__RefHeading___Toc35595_2500843206">
            <w:r>
              <w:rPr>
                <w:rStyle w:val="Verzeichnissprung"/>
              </w:rPr>
              <w:t>Wo finde ich ein Verzeichnis von Beratungsstellen?</w:t>
              <w:tab/>
              <w:t>5</w:t>
            </w:r>
          </w:hyperlink>
        </w:p>
        <w:p>
          <w:pPr>
            <w:pStyle w:val="Verzeichnis11"/>
            <w:tabs>
              <w:tab w:val="clear" w:pos="720"/>
              <w:tab w:val="right" w:pos="9072" w:leader="dot"/>
            </w:tabs>
            <w:rPr/>
          </w:pPr>
          <w:hyperlink w:anchor="__RefHeading___Toc35597_2500843206">
            <w:r>
              <w:rPr>
                <w:rStyle w:val="Verzeichnissprung"/>
              </w:rPr>
              <w:t>Für Eigentümer:innen</w:t>
              <w:tab/>
              <w:t>5</w:t>
            </w:r>
          </w:hyperlink>
        </w:p>
        <w:p>
          <w:pPr>
            <w:pStyle w:val="Verzeichnis31"/>
            <w:tabs>
              <w:tab w:val="clear" w:pos="720"/>
              <w:tab w:val="right" w:pos="9072" w:leader="dot"/>
            </w:tabs>
            <w:rPr/>
          </w:pPr>
          <w:hyperlink w:anchor="__RefHeading___Toc2854_4199822208">
            <w:r>
              <w:rPr>
                <w:rStyle w:val="Verzeichnissprung"/>
              </w:rPr>
              <w:t>1. Etappe: Ein Blick in das Solarpotenzialkataster – Grobprüfung: Ja oder Nein?</w:t>
              <w:tab/>
              <w:t>5</w:t>
            </w:r>
          </w:hyperlink>
        </w:p>
        <w:p>
          <w:pPr>
            <w:pStyle w:val="Verzeichnis31"/>
            <w:tabs>
              <w:tab w:val="clear" w:pos="720"/>
              <w:tab w:val="right" w:pos="9072" w:leader="dot"/>
            </w:tabs>
            <w:rPr/>
          </w:pPr>
          <w:hyperlink w:anchor="__RefHeading___Toc35603_2500843206">
            <w:r>
              <w:rPr>
                <w:rStyle w:val="Verzeichnissprung"/>
              </w:rPr>
              <w:t>2. Etappe: Beratung vor Ort und die Wahl des Angebotes</w:t>
              <w:tab/>
              <w:t>6</w:t>
            </w:r>
          </w:hyperlink>
        </w:p>
        <w:p>
          <w:pPr>
            <w:pStyle w:val="Verzeichnis31"/>
            <w:tabs>
              <w:tab w:val="clear" w:pos="720"/>
              <w:tab w:val="right" w:pos="9072" w:leader="dot"/>
            </w:tabs>
            <w:rPr/>
          </w:pPr>
          <w:hyperlink w:anchor="__RefHeading___Toc35605_2500843206">
            <w:r>
              <w:rPr>
                <w:rStyle w:val="Verzeichnissprung"/>
              </w:rPr>
              <w:t>3. Etappe: Finanzierung sichern</w:t>
              <w:tab/>
              <w:t>6</w:t>
            </w:r>
          </w:hyperlink>
        </w:p>
        <w:p>
          <w:pPr>
            <w:pStyle w:val="Verzeichnis31"/>
            <w:tabs>
              <w:tab w:val="clear" w:pos="720"/>
              <w:tab w:val="right" w:pos="9072" w:leader="dot"/>
            </w:tabs>
            <w:rPr/>
          </w:pPr>
          <w:hyperlink w:anchor="__RefHeading___Toc35607_2500843206">
            <w:r>
              <w:rPr>
                <w:rStyle w:val="Verzeichnissprung"/>
              </w:rPr>
              <w:t>4. Etappe: Auftrag vergeben</w:t>
              <w:tab/>
              <w:t>6</w:t>
            </w:r>
          </w:hyperlink>
        </w:p>
        <w:p>
          <w:pPr>
            <w:pStyle w:val="Verzeichnis31"/>
            <w:tabs>
              <w:tab w:val="clear" w:pos="720"/>
              <w:tab w:val="right" w:pos="9072" w:leader="dot"/>
            </w:tabs>
            <w:rPr/>
          </w:pPr>
          <w:hyperlink w:anchor="__RefHeading___Toc35609_2500843206">
            <w:r>
              <w:rPr>
                <w:rStyle w:val="Verzeichnissprung"/>
              </w:rPr>
              <w:t>5. Etappe: Anmeldung beim Netzbetreibenden</w:t>
              <w:tab/>
              <w:t>6</w:t>
            </w:r>
          </w:hyperlink>
        </w:p>
        <w:p>
          <w:pPr>
            <w:pStyle w:val="Verzeichnis31"/>
            <w:tabs>
              <w:tab w:val="clear" w:pos="720"/>
              <w:tab w:val="right" w:pos="9072" w:leader="dot"/>
            </w:tabs>
            <w:rPr/>
          </w:pPr>
          <w:hyperlink w:anchor="__RefHeading___Toc35611_2500843206">
            <w:r>
              <w:rPr>
                <w:rStyle w:val="Verzeichnissprung"/>
              </w:rPr>
              <w:t>6. Etappe: Anmeldung bei der Bundesnetzagentur und beim Finanzamt</w:t>
              <w:tab/>
              <w:t>7</w:t>
            </w:r>
          </w:hyperlink>
        </w:p>
        <w:p>
          <w:pPr>
            <w:pStyle w:val="Verzeichnis31"/>
            <w:tabs>
              <w:tab w:val="clear" w:pos="720"/>
              <w:tab w:val="right" w:pos="9072" w:leader="dot"/>
            </w:tabs>
            <w:rPr/>
          </w:pPr>
          <w:hyperlink w:anchor="__RefHeading___Toc35613_2500843206">
            <w:r>
              <w:rPr>
                <w:rStyle w:val="Verzeichnissprung"/>
              </w:rPr>
              <w:t>7. Etappe: Inbetriebnahme der Anlage</w:t>
              <w:tab/>
              <w:t>7</w:t>
            </w:r>
          </w:hyperlink>
        </w:p>
        <w:p>
          <w:pPr>
            <w:pStyle w:val="Verzeichnis31"/>
            <w:tabs>
              <w:tab w:val="clear" w:pos="720"/>
              <w:tab w:val="right" w:pos="9072" w:leader="dot"/>
            </w:tabs>
            <w:rPr/>
          </w:pPr>
          <w:hyperlink w:anchor="__RefHeading___Toc35615_2500843206">
            <w:r>
              <w:rPr>
                <w:rStyle w:val="Verzeichnissprung"/>
              </w:rPr>
              <w:t>8. Etappe: Vergütung und Versicherung</w:t>
              <w:tab/>
              <w:t>8</w:t>
            </w:r>
          </w:hyperlink>
        </w:p>
        <w:p>
          <w:pPr>
            <w:pStyle w:val="Verzeichnis31"/>
            <w:tabs>
              <w:tab w:val="clear" w:pos="720"/>
              <w:tab w:val="right" w:pos="9072" w:leader="dot"/>
            </w:tabs>
            <w:rPr/>
          </w:pPr>
          <w:hyperlink w:anchor="__RefHeading___Toc35617_2500843206">
            <w:r>
              <w:rPr>
                <w:rStyle w:val="Verzeichnissprung"/>
              </w:rPr>
              <w:t>9. Etappe: Betrieb</w:t>
              <w:tab/>
              <w:t>8</w:t>
            </w:r>
          </w:hyperlink>
        </w:p>
        <w:p>
          <w:pPr>
            <w:pStyle w:val="Verzeichnis31"/>
            <w:tabs>
              <w:tab w:val="clear" w:pos="720"/>
              <w:tab w:val="right" w:pos="9072" w:leader="dot"/>
            </w:tabs>
            <w:rPr/>
          </w:pPr>
          <w:hyperlink w:anchor="__RefHeading___Toc35619_2500843206">
            <w:r>
              <w:rPr>
                <w:rStyle w:val="Verzeichnissprung"/>
              </w:rPr>
              <w:t>10. Etappe: Erneuerung/Betriebseinstellung/Entsorgung</w:t>
              <w:tab/>
              <w:t>8</w:t>
            </w:r>
          </w:hyperlink>
        </w:p>
        <w:p>
          <w:pPr>
            <w:pStyle w:val="Verzeichnis11"/>
            <w:tabs>
              <w:tab w:val="clear" w:pos="720"/>
              <w:tab w:val="right" w:pos="9072" w:leader="dot"/>
            </w:tabs>
            <w:rPr/>
          </w:pPr>
          <w:hyperlink w:anchor="__RefHeading___Toc35621_2500843206">
            <w:r>
              <w:rPr>
                <w:rStyle w:val="Verzeichnissprung"/>
              </w:rPr>
              <w:t>Für Mieter:innen und Wohneigentümergemeinschaften</w:t>
              <w:tab/>
              <w:t>8</w:t>
            </w:r>
          </w:hyperlink>
        </w:p>
        <w:p>
          <w:pPr>
            <w:pStyle w:val="Verzeichnis11"/>
            <w:tabs>
              <w:tab w:val="clear" w:pos="720"/>
              <w:tab w:val="right" w:pos="9072" w:leader="dot"/>
            </w:tabs>
            <w:rPr/>
          </w:pPr>
          <w:hyperlink w:anchor="__RefHeading___Toc35623_2500843206">
            <w:r>
              <w:rPr>
                <w:rStyle w:val="Verzeichnissprung"/>
              </w:rPr>
              <w:t>Für Vermieter:innen</w:t>
              <w:tab/>
              <w:t>9</w:t>
            </w:r>
          </w:hyperlink>
        </w:p>
        <w:p>
          <w:pPr>
            <w:pStyle w:val="Verzeichnis11"/>
            <w:tabs>
              <w:tab w:val="clear" w:pos="720"/>
              <w:tab w:val="right" w:pos="9072" w:leader="dot"/>
            </w:tabs>
            <w:rPr/>
          </w:pPr>
          <w:hyperlink w:anchor="__RefHeading___Toc43599_2500843206">
            <w:r>
              <w:rPr>
                <w:rStyle w:val="Verzeichnissprung"/>
              </w:rPr>
              <w:t>Anhang</w:t>
              <w:tab/>
              <w:t>10</w:t>
            </w:r>
          </w:hyperlink>
        </w:p>
        <w:p>
          <w:pPr>
            <w:pStyle w:val="Verzeichnis21"/>
            <w:tabs>
              <w:tab w:val="clear" w:pos="720"/>
              <w:tab w:val="right" w:pos="9072" w:leader="dot"/>
            </w:tabs>
            <w:rPr/>
          </w:pPr>
          <w:hyperlink w:anchor="__RefHeading___Toc2856_4199822208">
            <w:r>
              <w:rPr>
                <w:rStyle w:val="Verzeichnissprung"/>
              </w:rPr>
              <w:t>Nützliche Links</w:t>
              <w:tab/>
              <w:t>10</w:t>
            </w:r>
          </w:hyperlink>
        </w:p>
        <w:p>
          <w:pPr>
            <w:pStyle w:val="Verzeichnis21"/>
            <w:tabs>
              <w:tab w:val="clear" w:pos="720"/>
              <w:tab w:val="right" w:pos="9072" w:leader="dot"/>
            </w:tabs>
            <w:rPr/>
          </w:pPr>
          <w:hyperlink w:anchor="__RefHeading___Toc2858_4199822208">
            <w:r>
              <w:rPr>
                <w:rStyle w:val="Verzeichnissprung"/>
              </w:rPr>
              <w:t>Solarpotentialkataster</w:t>
              <w:tab/>
              <w:t>14</w:t>
            </w:r>
          </w:hyperlink>
        </w:p>
        <w:p>
          <w:pPr>
            <w:pStyle w:val="Verzeichnis11"/>
            <w:tabs>
              <w:tab w:val="clear" w:pos="720"/>
              <w:tab w:val="right" w:pos="9072" w:leader="dot"/>
            </w:tabs>
            <w:rPr/>
          </w:pPr>
          <w:hyperlink w:anchor="__RefHeading___Toc42945_2500843206">
            <w:r>
              <w:rPr>
                <w:rStyle w:val="Verzeichnissprung"/>
              </w:rPr>
              <w:t>Praxis-Beispiel: Wie kann ich sehen, wie viel Strom ich produziere und verbrauche?</w:t>
              <w:tab/>
              <w:t>17</w:t>
            </w:r>
          </w:hyperlink>
          <w:r>
            <w:rPr>
              <w:rStyle w:val="Verzeichnissprung"/>
            </w:rPr>
            <w:fldChar w:fldCharType="end"/>
          </w:r>
        </w:p>
      </w:sdtContent>
    </w:sdt>
    <w:p>
      <w:pPr>
        <w:pStyle w:val="Normal"/>
        <w:spacing w:lineRule="auto" w:line="240" w:before="0" w:after="0"/>
        <w:rPr>
          <w:rFonts w:ascii="DejaVu Sans" w:hAnsi="DejaVu Sans"/>
          <w:sz w:val="24"/>
          <w:szCs w:val="24"/>
        </w:rPr>
      </w:pPr>
      <w:r>
        <w:rPr>
          <w:rFonts w:ascii="DejaVu Sans" w:hAnsi="DejaVu Sans"/>
          <w:sz w:val="24"/>
          <w:szCs w:val="24"/>
        </w:rPr>
      </w:r>
    </w:p>
    <w:p>
      <w:pPr>
        <w:pStyle w:val="Berschrift11"/>
        <w:numPr>
          <w:ilvl w:val="0"/>
          <w:numId w:val="1"/>
        </w:numPr>
        <w:spacing w:lineRule="auto" w:line="240" w:before="0" w:after="0"/>
        <w:rPr>
          <w:rFonts w:ascii="Calibri" w:hAnsi="Calibri" w:cs="Calibri" w:asciiTheme="minorHAnsi" w:cstheme="minorHAnsi" w:hAnsiTheme="minorHAnsi"/>
        </w:rPr>
      </w:pPr>
      <w:r>
        <w:rPr>
          <w:rFonts w:cs="Calibri" w:cstheme="minorHAnsi" w:ascii="Calibri" w:hAnsi="Calibri"/>
        </w:rPr>
      </w:r>
    </w:p>
    <w:p>
      <w:pPr>
        <w:pStyle w:val="Berschrift11"/>
        <w:numPr>
          <w:ilvl w:val="0"/>
          <w:numId w:val="1"/>
        </w:numPr>
        <w:spacing w:lineRule="auto" w:line="240" w:before="0" w:after="0"/>
        <w:rPr>
          <w:rFonts w:ascii="Calibri" w:hAnsi="Calibri" w:cs="Calibri" w:asciiTheme="minorHAnsi" w:cstheme="minorHAnsi" w:hAnsiTheme="minorHAnsi"/>
        </w:rPr>
      </w:pPr>
      <w:r>
        <w:rPr>
          <w:rFonts w:cs="Calibri" w:cstheme="minorHAnsi" w:ascii="Calibri" w:hAnsi="Calibri"/>
        </w:rPr>
      </w:r>
    </w:p>
    <w:p>
      <w:pPr>
        <w:pStyle w:val="Berschrift11"/>
        <w:numPr>
          <w:ilvl w:val="0"/>
          <w:numId w:val="1"/>
        </w:numPr>
        <w:spacing w:lineRule="auto" w:line="240" w:before="0" w:after="0"/>
        <w:rPr>
          <w:rFonts w:ascii="Calibri" w:hAnsi="Calibri" w:cs="Calibri" w:asciiTheme="minorHAnsi" w:cstheme="minorHAnsi" w:hAnsiTheme="minorHAnsi"/>
        </w:rPr>
      </w:pPr>
      <w:r>
        <w:rPr>
          <w:rFonts w:cs="Calibri" w:cstheme="minorHAnsi" w:ascii="Calibri" w:hAnsi="Calibri"/>
        </w:rPr>
      </w:r>
    </w:p>
    <w:p>
      <w:pPr>
        <w:pStyle w:val="Berschrift11"/>
        <w:numPr>
          <w:ilvl w:val="0"/>
          <w:numId w:val="1"/>
        </w:numPr>
        <w:spacing w:lineRule="auto" w:line="240" w:before="0" w:after="0"/>
        <w:rPr>
          <w:rFonts w:ascii="Calibri" w:hAnsi="Calibri" w:cs="Calibri" w:asciiTheme="minorHAnsi" w:cstheme="minorHAnsi" w:hAnsiTheme="minorHAnsi"/>
        </w:rPr>
      </w:pPr>
      <w:r>
        <w:rPr>
          <w:rFonts w:cs="Calibri" w:cstheme="minorHAnsi" w:ascii="Calibri" w:hAnsi="Calibri"/>
        </w:rPr>
      </w:r>
    </w:p>
    <w:p>
      <w:pPr>
        <w:pStyle w:val="Berschrift11"/>
        <w:numPr>
          <w:ilvl w:val="0"/>
          <w:numId w:val="1"/>
        </w:numPr>
        <w:spacing w:lineRule="auto" w:line="240" w:before="0" w:after="0"/>
        <w:rPr>
          <w:rFonts w:ascii="Calibri" w:hAnsi="Calibri" w:cs="Calibri" w:asciiTheme="minorHAnsi" w:cstheme="minorHAnsi" w:hAnsiTheme="minorHAnsi"/>
        </w:rPr>
      </w:pPr>
      <w:r>
        <w:rPr>
          <w:rFonts w:cs="Calibri" w:cstheme="minorHAnsi" w:ascii="Calibri" w:hAnsi="Calibri"/>
        </w:rPr>
      </w:r>
    </w:p>
    <w:p>
      <w:pPr>
        <w:pStyle w:val="Berschrift11"/>
        <w:numPr>
          <w:ilvl w:val="0"/>
          <w:numId w:val="1"/>
        </w:numPr>
        <w:spacing w:lineRule="auto" w:line="240" w:before="0" w:after="0"/>
        <w:rPr>
          <w:rFonts w:ascii="Calibri" w:hAnsi="Calibri" w:cs="Calibri" w:asciiTheme="minorHAnsi" w:cstheme="minorHAnsi" w:hAnsiTheme="minorHAnsi"/>
        </w:rPr>
      </w:pPr>
      <w:r>
        <w:rPr>
          <w:rFonts w:cs="Calibri" w:cstheme="minorHAnsi" w:ascii="Calibri" w:hAnsi="Calibri"/>
        </w:rPr>
      </w:r>
    </w:p>
    <w:p>
      <w:pPr>
        <w:pStyle w:val="Berschrift11"/>
        <w:numPr>
          <w:ilvl w:val="0"/>
          <w:numId w:val="1"/>
        </w:numPr>
        <w:spacing w:lineRule="auto" w:line="240" w:before="0" w:after="0"/>
        <w:rPr>
          <w:rFonts w:ascii="Calibri" w:hAnsi="Calibri" w:cs="Calibri" w:asciiTheme="minorHAnsi" w:cstheme="minorHAnsi" w:hAnsiTheme="minorHAnsi"/>
        </w:rPr>
      </w:pPr>
      <w:r>
        <w:rPr>
          <w:rFonts w:cs="Calibri" w:cstheme="minorHAnsi" w:ascii="Calibri" w:hAnsi="Calibri"/>
        </w:rPr>
      </w:r>
    </w:p>
    <w:p>
      <w:pPr>
        <w:pStyle w:val="Berschrift11"/>
        <w:numPr>
          <w:ilvl w:val="0"/>
          <w:numId w:val="1"/>
        </w:numPr>
        <w:spacing w:lineRule="auto" w:line="240" w:before="0" w:after="0"/>
        <w:rPr>
          <w:rFonts w:ascii="Calibri" w:hAnsi="Calibri" w:cs="Calibri" w:asciiTheme="minorHAnsi" w:cstheme="minorHAnsi" w:hAnsiTheme="minorHAnsi"/>
        </w:rPr>
      </w:pPr>
      <w:r>
        <w:rPr>
          <w:rFonts w:cs="Calibri" w:cstheme="minorHAnsi" w:ascii="Calibri" w:hAnsi="Calibri"/>
        </w:rPr>
      </w:r>
    </w:p>
    <w:p>
      <w:pPr>
        <w:pStyle w:val="Berschrift11"/>
        <w:numPr>
          <w:ilvl w:val="0"/>
          <w:numId w:val="4"/>
        </w:numPr>
        <w:spacing w:lineRule="auto" w:line="240" w:before="0" w:after="0"/>
        <w:rPr>
          <w:sz w:val="24"/>
          <w:szCs w:val="24"/>
        </w:rPr>
      </w:pPr>
      <w:bookmarkStart w:id="0" w:name="__RefHeading___Toc35583_2500843206"/>
      <w:bookmarkEnd w:id="0"/>
      <w:r>
        <w:rPr>
          <w:rFonts w:cs="Calibri" w:ascii="Calibri" w:hAnsi="Calibri" w:asciiTheme="minorHAnsi" w:cstheme="minorHAnsi" w:hAnsiTheme="minorHAnsi"/>
          <w:sz w:val="24"/>
          <w:szCs w:val="24"/>
        </w:rPr>
        <w:t>Hinweis</w:t>
      </w:r>
    </w:p>
    <w:p>
      <w:pPr>
        <w:pStyle w:val="Berschrift11"/>
        <w:numPr>
          <w:ilvl w:val="0"/>
          <w:numId w:val="4"/>
        </w:numPr>
        <w:spacing w:lineRule="auto" w:line="240" w:before="0" w:after="0"/>
        <w:rPr>
          <w:rFonts w:ascii="Calibri" w:hAnsi="Calibri" w:cs="Calibri" w:asciiTheme="minorHAnsi" w:cstheme="minorHAnsi" w:hAnsiTheme="minorHAnsi"/>
        </w:rPr>
      </w:pPr>
      <w:r>
        <w:rPr>
          <w:rFonts w:cs="Calibri" w:cstheme="minorHAnsi" w:ascii="Calibri" w:hAnsi="Calibri"/>
        </w:rPr>
      </w:r>
    </w:p>
    <w:p>
      <w:pPr>
        <w:pStyle w:val="Normal"/>
        <w:numPr>
          <w:ilvl w:val="0"/>
          <w:numId w:val="4"/>
        </w:numPr>
        <w:rPr/>
      </w:pPr>
      <w:bookmarkStart w:id="1" w:name="__RefHeading___Toc35585_2500843206"/>
      <w:bookmarkEnd w:id="1"/>
      <w:r>
        <w:rPr>
          <w:rFonts w:cs="Calibri" w:cstheme="minorHAnsi"/>
        </w:rPr>
        <w:t xml:space="preserve">Dies ist eine Information von Bürger:innen für Bürger:innen. Wir, vom Arbeitskreis „MainSolar“ </w:t>
      </w:r>
      <w:r>
        <w:rPr>
          <w:rFonts w:eastAsia="Noto Sans CJK SC" w:cs="Calibri" w:cstheme="minorHAnsi"/>
        </w:rPr>
        <w:t>haben diese</w:t>
      </w:r>
      <w:r>
        <w:rPr>
          <w:rFonts w:cs="Calibri" w:cstheme="minorHAnsi"/>
        </w:rPr>
        <w:t xml:space="preserve"> nach bestem Wissen und Gewissen zusammengetragen; sie ist nicht gewerblich. Es wird keine Haftung übernommen für die Inhalte dieses Dokuments und der hier aufgeführten Links. </w:t>
      </w:r>
    </w:p>
    <w:p>
      <w:pPr>
        <w:pStyle w:val="Berschrift11"/>
        <w:numPr>
          <w:ilvl w:val="0"/>
          <w:numId w:val="1"/>
        </w:numPr>
        <w:spacing w:lineRule="auto" w:line="240" w:before="0" w:after="0"/>
        <w:rPr>
          <w:rFonts w:ascii="Calibri" w:hAnsi="Calibri" w:cs="Calibri" w:asciiTheme="minorHAnsi" w:cstheme="minorHAnsi" w:hAnsiTheme="minorHAnsi"/>
          <w:sz w:val="28"/>
          <w:szCs w:val="28"/>
        </w:rPr>
      </w:pPr>
      <w:r>
        <w:rPr>
          <w:rFonts w:cs="Calibri" w:cstheme="minorHAnsi" w:ascii="Calibri" w:hAnsi="Calibri"/>
          <w:sz w:val="28"/>
          <w:szCs w:val="28"/>
        </w:rPr>
      </w:r>
      <w:r>
        <w:br w:type="page"/>
      </w:r>
    </w:p>
    <w:p>
      <w:pPr>
        <w:pStyle w:val="Berschrift11"/>
        <w:numPr>
          <w:ilvl w:val="0"/>
          <w:numId w:val="1"/>
        </w:numPr>
        <w:spacing w:lineRule="auto" w:line="240" w:before="0" w:after="0"/>
        <w:rPr>
          <w:rFonts w:ascii="Calibri" w:hAnsi="Calibri" w:cs="Calibri" w:asciiTheme="minorHAnsi" w:cstheme="minorHAnsi" w:hAnsiTheme="minorHAnsi"/>
          <w:sz w:val="28"/>
          <w:szCs w:val="28"/>
        </w:rPr>
      </w:pPr>
      <w:bookmarkStart w:id="2" w:name="__RefHeading___Toc35587_2500843206"/>
      <w:bookmarkEnd w:id="2"/>
      <w:r>
        <w:rPr>
          <w:rFonts w:cs="Calibri" w:ascii="Calibri" w:hAnsi="Calibri" w:cstheme="minorHAnsi"/>
          <w:sz w:val="28"/>
          <w:szCs w:val="28"/>
        </w:rPr>
        <w:t>Einführung</w:t>
      </w:r>
    </w:p>
    <w:p>
      <w:pPr>
        <w:pStyle w:val="Textkrper"/>
        <w:spacing w:lineRule="auto" w:line="240" w:before="0" w:after="0"/>
        <w:rPr>
          <w:rFonts w:ascii="Calibri" w:hAnsi="Calibri" w:cs="Calibri" w:asciiTheme="minorHAnsi" w:cstheme="minorHAnsi" w:hAnsiTheme="minorHAnsi"/>
          <w:sz w:val="28"/>
          <w:szCs w:val="28"/>
        </w:rPr>
      </w:pPr>
      <w:r>
        <w:rPr>
          <w:rFonts w:cs="Calibri" w:cstheme="minorHAnsi"/>
          <w:sz w:val="28"/>
          <w:szCs w:val="28"/>
        </w:rPr>
      </w:r>
    </w:p>
    <w:p>
      <w:pPr>
        <w:pStyle w:val="Textkrper"/>
        <w:spacing w:lineRule="auto" w:line="240" w:before="0" w:after="0"/>
        <w:rPr/>
      </w:pPr>
      <w:r>
        <w:rPr>
          <w:rFonts w:cs="Calibri" w:cstheme="minorHAnsi"/>
          <w:sz w:val="24"/>
          <w:szCs w:val="24"/>
        </w:rPr>
        <w:t xml:space="preserve">Der Ökokreis Gemünden hat Ende 2020 einen Arbeitskreis "Main Solar Projekt" gebildet – wir wollen mit erneuerbarer Energie etwas für das Klima tun. </w:t>
      </w:r>
    </w:p>
    <w:p>
      <w:pPr>
        <w:pStyle w:val="Textkrper"/>
        <w:spacing w:lineRule="auto" w:line="240" w:before="0" w:after="0"/>
        <w:rPr/>
      </w:pPr>
      <w:r>
        <w:rPr/>
      </w:r>
    </w:p>
    <w:p>
      <w:pPr>
        <w:pStyle w:val="Textkrper"/>
        <w:spacing w:lineRule="auto" w:line="240" w:before="0" w:after="0"/>
        <w:rPr/>
      </w:pPr>
      <w:r>
        <w:rPr>
          <w:rFonts w:cs="Calibri" w:cstheme="minorHAnsi"/>
          <w:sz w:val="24"/>
          <w:szCs w:val="24"/>
        </w:rPr>
        <w:t xml:space="preserve">Unsere Haus-Dächer haben enormes Potenzial: Photovoltaik-Anlagen (PV), Solarthermie, Windkraft.... Vieles ist möglich und die Sonnenintensität bringt auch bei uns ausreichend Erträge. Die Vermarktungsmodelle des nachhaltig erzeugten Stromes sind vielfältig. Wer nicht vermarktet, baut die PV-Anlage für den Eigenbedarf. </w:t>
      </w:r>
    </w:p>
    <w:p>
      <w:pPr>
        <w:pStyle w:val="Textkrper"/>
        <w:spacing w:lineRule="auto" w:line="240" w:before="0" w:after="0"/>
        <w:rPr>
          <w:rFonts w:cs="Calibri" w:cstheme="minorHAnsi"/>
          <w:sz w:val="24"/>
          <w:szCs w:val="24"/>
        </w:rPr>
      </w:pPr>
      <w:r>
        <w:rPr>
          <w:rFonts w:cs="Calibri" w:cstheme="minorHAnsi"/>
          <w:sz w:val="24"/>
          <w:szCs w:val="24"/>
        </w:rPr>
      </w:r>
    </w:p>
    <w:p>
      <w:pPr>
        <w:pStyle w:val="Textkrper"/>
        <w:spacing w:lineRule="auto" w:line="240" w:before="0" w:after="0"/>
        <w:rPr/>
      </w:pPr>
      <w:r>
        <w:rPr>
          <w:rFonts w:cs="Calibri" w:cstheme="minorHAnsi"/>
          <w:sz w:val="24"/>
          <w:szCs w:val="24"/>
        </w:rPr>
        <w:t xml:space="preserve">Enormes potenzial gibt es auch deswegen, weil in Gemünden und seinen Stadtteilen nur sieben Prozent der Dächer mit PV-Anlagen ausgestattet sind (Stand 2018, Quelle: </w:t>
      </w:r>
      <w:hyperlink r:id="rId2" w:tgtFrame="_top">
        <w:r>
          <w:rPr>
            <w:rStyle w:val="Internetverknpfung"/>
            <w:rFonts w:cs="Calibri" w:cstheme="minorHAnsi"/>
            <w:sz w:val="24"/>
            <w:szCs w:val="24"/>
          </w:rPr>
          <w:t>solare-stadt.de/main-spessart/Solarpotenzialkataster</w:t>
        </w:r>
      </w:hyperlink>
      <w:r>
        <w:rPr>
          <w:rFonts w:cs="Calibri" w:cstheme="minorHAnsi"/>
          <w:sz w:val="24"/>
          <w:szCs w:val="24"/>
        </w:rPr>
        <w:t xml:space="preserve">). </w:t>
      </w:r>
    </w:p>
    <w:p>
      <w:pPr>
        <w:pStyle w:val="Textkrper"/>
        <w:spacing w:lineRule="auto" w:line="240" w:before="0" w:after="0"/>
        <w:rPr>
          <w:rFonts w:cs="Calibri" w:cstheme="minorHAnsi"/>
          <w:sz w:val="24"/>
          <w:szCs w:val="24"/>
        </w:rPr>
      </w:pPr>
      <w:r>
        <w:rPr>
          <w:rFonts w:cs="Calibri" w:cstheme="minorHAnsi"/>
          <w:sz w:val="24"/>
          <w:szCs w:val="24"/>
        </w:rPr>
      </w:r>
    </w:p>
    <w:p>
      <w:pPr>
        <w:pStyle w:val="Textkrper"/>
        <w:spacing w:lineRule="auto" w:line="240" w:before="0" w:after="0"/>
        <w:rPr/>
      </w:pPr>
      <w:r>
        <w:rPr>
          <w:rFonts w:cs="Calibri" w:cstheme="minorHAnsi"/>
          <w:sz w:val="24"/>
          <w:szCs w:val="24"/>
        </w:rPr>
        <w:t xml:space="preserve">Ziel des Arbeitskreises ist es, Informationen für unsere Stadt und unsere Stadtteile zusammenzutragen, Bürger:innen zu motivieren und so etwas für nachfolgende Generationen zu tun. </w:t>
      </w:r>
    </w:p>
    <w:p>
      <w:pPr>
        <w:pStyle w:val="Textkrper"/>
        <w:spacing w:lineRule="auto" w:line="240" w:before="0" w:after="0"/>
        <w:rPr>
          <w:rFonts w:cs="Calibri" w:cstheme="minorHAnsi"/>
          <w:sz w:val="24"/>
          <w:szCs w:val="24"/>
        </w:rPr>
      </w:pPr>
      <w:r>
        <w:rPr>
          <w:rFonts w:cs="Calibri" w:cstheme="minorHAnsi"/>
          <w:sz w:val="24"/>
          <w:szCs w:val="24"/>
        </w:rPr>
      </w:r>
    </w:p>
    <w:p>
      <w:pPr>
        <w:pStyle w:val="Textkrper"/>
        <w:spacing w:lineRule="auto" w:line="240" w:before="0" w:after="0"/>
        <w:rPr/>
      </w:pPr>
      <w:r>
        <w:rPr>
          <w:rFonts w:cs="Calibri" w:cstheme="minorHAnsi"/>
          <w:sz w:val="24"/>
          <w:szCs w:val="24"/>
        </w:rPr>
        <w:t xml:space="preserve">Unser Ziel ist, dass in dieser kommunalen Legislaturperiode mehr Menschen die Sonnenenergie nutzen um Energie zu erzeugen: aus den sieben Prozent soll eine zweistellige Zahl werden. </w:t>
      </w:r>
    </w:p>
    <w:p>
      <w:pPr>
        <w:pStyle w:val="Berschrift11"/>
        <w:numPr>
          <w:ilvl w:val="0"/>
          <w:numId w:val="1"/>
        </w:numPr>
        <w:spacing w:lineRule="auto" w:line="240" w:before="0" w:after="0"/>
        <w:rPr>
          <w:rFonts w:ascii="Calibri" w:hAnsi="Calibri"/>
        </w:rPr>
      </w:pPr>
      <w:r>
        <w:rPr>
          <w:rFonts w:ascii="Calibri" w:hAnsi="Calibri"/>
        </w:rPr>
      </w:r>
    </w:p>
    <w:p>
      <w:pPr>
        <w:pStyle w:val="Normal"/>
        <w:spacing w:lineRule="auto" w:line="240" w:before="0" w:after="0"/>
        <w:rPr/>
      </w:pPr>
      <w:r>
        <w:rPr>
          <w:rFonts w:cs="Calibri" w:cstheme="minorHAnsi"/>
          <w:sz w:val="24"/>
          <w:szCs w:val="24"/>
        </w:rPr>
        <w:t xml:space="preserve">Sonnenenergie lässt sich umfassend nutzen: während PV-Freiflächenanlagen (FFA), PV-Dachanlagen und Mini-PV-Anlagen Strom erzeugen, kann eine Solarthermie-Anlage zur Unterstützung der Heizung eingesetzt werden. Viele Menschen in Main-Spessart und Gemünden stellen sich die Frage, ob eine PV-Anlage überhaupt ökologisch, sozial und wirtschaftlich sinnvoll ist. </w:t>
        <w:br/>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t>Wir meinen: JA!</w:t>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p>
      <w:pPr>
        <w:pStyle w:val="Berschrift11"/>
        <w:numPr>
          <w:ilvl w:val="0"/>
          <w:numId w:val="1"/>
        </w:numPr>
        <w:rPr>
          <w:rFonts w:ascii="Calibri" w:hAnsi="Calibri" w:cs="Calibri" w:asciiTheme="minorHAnsi" w:cstheme="minorHAnsi" w:hAnsiTheme="minorHAnsi"/>
          <w:sz w:val="24"/>
          <w:szCs w:val="24"/>
        </w:rPr>
      </w:pPr>
      <w:bookmarkStart w:id="3" w:name="__RefHeading___Toc39504_2500843206"/>
      <w:bookmarkEnd w:id="3"/>
      <w:r>
        <w:rPr>
          <w:rFonts w:cs="Calibri" w:ascii="Calibri" w:hAnsi="Calibri" w:cstheme="minorHAnsi"/>
          <w:sz w:val="28"/>
          <w:szCs w:val="28"/>
        </w:rPr>
        <w:t>Wer kann „solar-aktiv“ werden?</w:t>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t xml:space="preserve">Die gute Nachricht: Jede und jeder! </w:t>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t>Sie sind Hausbesitzer:in und bewohnen ihr Haus selbst, dann spricht erst mal nichts dagegen. Das Haus gehört Ihnen, ist aber vermietet? Auch dies ist kein Hindernis. Und selbst als Mieter:in können Sie sich eine PV-Modul, eine sogenannte Mini-PV Anlage installieren.</w:t>
      </w:r>
    </w:p>
    <w:p>
      <w:pPr>
        <w:pStyle w:val="Berschrift11"/>
        <w:numPr>
          <w:ilvl w:val="0"/>
          <w:numId w:val="4"/>
        </w:numPr>
        <w:spacing w:lineRule="auto" w:line="240" w:before="0" w:after="0"/>
        <w:rPr>
          <w:rFonts w:ascii="Calibri" w:hAnsi="Calibri" w:cs="Calibri" w:asciiTheme="minorHAnsi" w:cstheme="minorHAnsi" w:hAnsiTheme="minorHAnsi"/>
          <w:sz w:val="28"/>
          <w:szCs w:val="28"/>
        </w:rPr>
      </w:pPr>
      <w:r>
        <w:rPr>
          <w:rFonts w:cs="Calibri" w:cstheme="minorHAnsi" w:ascii="Calibri" w:hAnsi="Calibri"/>
          <w:sz w:val="28"/>
          <w:szCs w:val="28"/>
        </w:rPr>
      </w:r>
    </w:p>
    <w:p>
      <w:pPr>
        <w:pStyle w:val="Berschrift11"/>
        <w:numPr>
          <w:ilvl w:val="0"/>
          <w:numId w:val="4"/>
        </w:numPr>
        <w:spacing w:lineRule="auto" w:line="240" w:before="0" w:after="0"/>
        <w:rPr>
          <w:rFonts w:ascii="Calibri" w:hAnsi="Calibri" w:cs="Calibri" w:asciiTheme="minorHAnsi" w:cstheme="minorHAnsi" w:hAnsiTheme="minorHAnsi"/>
          <w:sz w:val="28"/>
          <w:szCs w:val="28"/>
        </w:rPr>
      </w:pPr>
      <w:bookmarkStart w:id="4" w:name="__RefHeading___Toc35589_2500843206"/>
      <w:bookmarkEnd w:id="4"/>
      <w:r>
        <w:rPr>
          <w:rFonts w:cs="Calibri" w:ascii="Calibri" w:hAnsi="Calibri" w:asciiTheme="minorHAnsi" w:cstheme="minorHAnsi" w:hAnsiTheme="minorHAnsi"/>
          <w:sz w:val="28"/>
          <w:szCs w:val="28"/>
        </w:rPr>
        <w:t>Rentiert sich eine PV-Anlage hier auf meinem Gemündener Dach</w:t>
      </w:r>
      <w:bookmarkStart w:id="5" w:name="_Toc76333160"/>
      <w:bookmarkStart w:id="6" w:name="_Toc73524264"/>
      <w:r>
        <w:rPr>
          <w:rFonts w:cs="Calibri" w:ascii="Calibri" w:hAnsi="Calibri" w:asciiTheme="minorHAnsi" w:cstheme="minorHAnsi" w:hAnsiTheme="minorHAnsi"/>
          <w:sz w:val="28"/>
          <w:szCs w:val="28"/>
        </w:rPr>
        <w:t>?</w:t>
      </w:r>
      <w:bookmarkEnd w:id="5"/>
      <w:bookmarkEnd w:id="6"/>
    </w:p>
    <w:p>
      <w:pPr>
        <w:pStyle w:val="Normal"/>
        <w:spacing w:lineRule="auto" w:line="240" w:before="0" w:after="0"/>
        <w:rPr>
          <w:rFonts w:ascii="DejaVu Sans" w:hAnsi="DejaVu Sans"/>
          <w:sz w:val="24"/>
          <w:szCs w:val="24"/>
        </w:rPr>
      </w:pPr>
      <w:r>
        <w:rPr>
          <w:rFonts w:ascii="DejaVu Sans" w:hAnsi="DejaVu Sans"/>
          <w:sz w:val="24"/>
          <w:szCs w:val="24"/>
        </w:rPr>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t>Zur dieser Frage informiert das Solarpotenzialkataster. Das ist eine interaktive Karte des Landkreises. Auf dieser Karte kann man das eigene Haus suchen und sieht dann, ob sich eine PV-Anlage auf diesem Dach lohnt.</w:t>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t xml:space="preserve">Die Karte ist abrufbar beim Landratsamt unter: </w:t>
      </w:r>
      <w:hyperlink r:id="rId3">
        <w:r>
          <w:rPr>
            <w:rStyle w:val="Internetverknpfung"/>
            <w:rFonts w:cs="Calibri" w:cstheme="minorHAnsi"/>
            <w:color w:val="0000FF" w:themeColor="hyperlink"/>
            <w:sz w:val="24"/>
            <w:szCs w:val="24"/>
          </w:rPr>
          <w:t>https://www.solare-stadt.de/main-spessart</w:t>
        </w:r>
      </w:hyperlink>
      <w:r>
        <w:rPr>
          <w:rFonts w:cs="Calibri" w:cstheme="minorHAnsi"/>
          <w:sz w:val="24"/>
          <w:szCs w:val="24"/>
        </w:rPr>
        <w:t xml:space="preserve"> (siehe </w:t>
      </w:r>
      <w:hyperlink w:anchor="Anhang">
        <w:r>
          <w:rPr>
            <w:rStyle w:val="Internetverknpfung"/>
            <w:rFonts w:cs="Calibri" w:cstheme="minorHAnsi"/>
            <w:color w:val="0000FF" w:themeColor="hyperlink"/>
          </w:rPr>
          <w:t>Anhang</w:t>
        </w:r>
      </w:hyperlink>
      <w:r>
        <w:rPr>
          <w:rFonts w:cs="Calibri" w:cstheme="minorHAnsi"/>
          <w:sz w:val="24"/>
          <w:szCs w:val="24"/>
        </w:rPr>
        <w:t>).</w:t>
      </w:r>
    </w:p>
    <w:p>
      <w:pPr>
        <w:pStyle w:val="Normal"/>
        <w:spacing w:lineRule="auto" w:line="240" w:before="0" w:after="0"/>
        <w:ind w:left="708" w:hanging="0"/>
        <w:rPr>
          <w:rFonts w:ascii="Calibri" w:hAnsi="Calibri" w:cs="Calibri" w:asciiTheme="minorHAnsi" w:cstheme="minorHAnsi" w:hAnsiTheme="minorHAnsi"/>
          <w:sz w:val="24"/>
          <w:szCs w:val="24"/>
        </w:rPr>
      </w:pPr>
      <w:r>
        <w:rPr>
          <w:rFonts w:cs="Calibri" w:cstheme="minorHAnsi"/>
          <w:sz w:val="24"/>
          <w:szCs w:val="24"/>
        </w:rPr>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t>Weitere Information bietet die Verbraucherzentrale Bayern: „</w:t>
      </w:r>
      <w:hyperlink r:id="rId4">
        <w:r>
          <w:rPr>
            <w:rStyle w:val="Internetverknpfung"/>
            <w:rFonts w:cs="Calibri" w:cstheme="minorHAnsi"/>
            <w:color w:val="0000FF" w:themeColor="hyperlink"/>
            <w:sz w:val="24"/>
            <w:szCs w:val="24"/>
          </w:rPr>
          <w:t>Was bei der Planung einer Solaranlage wichtig ist</w:t>
        </w:r>
      </w:hyperlink>
      <w:r>
        <w:rPr>
          <w:rFonts w:cs="Calibri" w:cstheme="minorHAnsi"/>
          <w:sz w:val="24"/>
          <w:szCs w:val="24"/>
        </w:rPr>
        <w:t>“.</w:t>
      </w:r>
    </w:p>
    <w:p>
      <w:pPr>
        <w:pStyle w:val="Berschrift11"/>
        <w:numPr>
          <w:ilvl w:val="0"/>
          <w:numId w:val="1"/>
        </w:numPr>
        <w:rPr>
          <w:rFonts w:ascii="Calibri" w:hAnsi="Calibri" w:eastAsia="Times New Roman" w:cs="Calibri" w:asciiTheme="minorHAnsi" w:cstheme="minorHAnsi" w:hAnsiTheme="minorHAnsi"/>
          <w:color w:val="000000"/>
          <w:sz w:val="24"/>
          <w:szCs w:val="24"/>
          <w:lang w:eastAsia="de-DE"/>
        </w:rPr>
      </w:pPr>
      <w:bookmarkStart w:id="7" w:name="__RefHeading___Toc35591_2500843206"/>
      <w:bookmarkEnd w:id="7"/>
      <w:r>
        <w:rPr>
          <w:rFonts w:cs="Calibri" w:ascii="Calibri" w:hAnsi="Calibri" w:asciiTheme="minorHAnsi" w:cstheme="minorHAnsi" w:hAnsiTheme="minorHAnsi"/>
          <w:sz w:val="28"/>
          <w:szCs w:val="28"/>
        </w:rPr>
        <w:t>Gibt es ein unabhängiges Rechenprogramm, in dem man die Rentabilität einer Solaranlage überprüfen kann?</w:t>
      </w:r>
    </w:p>
    <w:p>
      <w:pPr>
        <w:pStyle w:val="Normal"/>
        <w:spacing w:lineRule="auto" w:line="240" w:before="0" w:after="0"/>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color w:val="000000"/>
          <w:sz w:val="24"/>
          <w:szCs w:val="24"/>
          <w:lang w:eastAsia="de-DE"/>
        </w:rPr>
        <w:t xml:space="preserve">Zusätzlich zum Solarpotenzialkataster haben wir einen Wirtschaftlichkeitsrechner auf Excel-Basis erarbeitet, der Ihnen die Rentabilität in groben Zügen angibt. Bei Interesse wenden Sie sich per E-Mail an </w:t>
      </w:r>
      <w:hyperlink r:id="rId5">
        <w:r>
          <w:rPr>
            <w:rStyle w:val="Internetverknpfung"/>
            <w:rFonts w:eastAsia="Times New Roman" w:cs="Calibri" w:cstheme="minorHAnsi"/>
            <w:color w:val="000000"/>
            <w:sz w:val="24"/>
            <w:szCs w:val="24"/>
            <w:lang w:eastAsia="de-DE"/>
          </w:rPr>
          <w:t>solar.oekokreis@gmx.de</w:t>
        </w:r>
      </w:hyperlink>
      <w:r>
        <w:rPr>
          <w:rFonts w:eastAsia="Times New Roman" w:cs="Calibri" w:cstheme="minorHAnsi"/>
          <w:color w:val="000000"/>
          <w:sz w:val="24"/>
          <w:szCs w:val="24"/>
          <w:lang w:eastAsia="de-DE"/>
        </w:rPr>
        <w:t xml:space="preserve"> </w:t>
      </w:r>
    </w:p>
    <w:p>
      <w:pPr>
        <w:pStyle w:val="Berschrift11"/>
        <w:numPr>
          <w:ilvl w:val="0"/>
          <w:numId w:val="5"/>
        </w:numPr>
        <w:rPr>
          <w:rFonts w:ascii="Calibri" w:hAnsi="Calibri" w:cs="Calibri" w:asciiTheme="minorHAnsi" w:cstheme="minorHAnsi" w:hAnsiTheme="minorHAnsi"/>
          <w:sz w:val="28"/>
          <w:szCs w:val="28"/>
        </w:rPr>
      </w:pPr>
      <w:bookmarkStart w:id="8" w:name="__RefHeading___Toc35593_2500843206"/>
      <w:bookmarkStart w:id="9" w:name="_Toc76333161"/>
      <w:bookmarkEnd w:id="8"/>
      <w:r>
        <w:rPr>
          <w:rFonts w:cs="Calibri" w:ascii="Calibri" w:hAnsi="Calibri" w:asciiTheme="minorHAnsi" w:cstheme="minorHAnsi" w:hAnsiTheme="minorHAnsi"/>
          <w:sz w:val="28"/>
          <w:szCs w:val="28"/>
        </w:rPr>
        <w:t>Welches Betriebsmodell ist das Richtige für mich?</w:t>
      </w:r>
      <w:bookmarkEnd w:id="9"/>
    </w:p>
    <w:p>
      <w:pPr>
        <w:pStyle w:val="Normal"/>
        <w:spacing w:lineRule="auto" w:line="240" w:before="0" w:after="0"/>
        <w:rPr>
          <w:rFonts w:ascii="Calibri" w:hAnsi="Calibri" w:cs="Calibri" w:asciiTheme="minorHAnsi" w:cstheme="minorHAnsi" w:hAnsiTheme="minorHAnsi"/>
          <w:sz w:val="24"/>
          <w:szCs w:val="24"/>
        </w:rPr>
      </w:pPr>
      <w:bookmarkStart w:id="10" w:name="_Toc73524265"/>
      <w:r>
        <w:rPr>
          <w:rFonts w:cs="Calibri" w:cstheme="minorHAnsi"/>
          <w:sz w:val="24"/>
          <w:szCs w:val="24"/>
        </w:rPr>
        <w:t>F</w:t>
      </w:r>
      <w:bookmarkEnd w:id="10"/>
      <w:r>
        <w:rPr>
          <w:rFonts w:cs="Calibri" w:cstheme="minorHAnsi"/>
          <w:sz w:val="24"/>
          <w:szCs w:val="24"/>
        </w:rPr>
        <w:t>ür eine PV-Anlage gibt es unterschiedliche Betriebsmodelle: Möchten Sie alles einspeisen, oder lieber den Strom selbst verbrauchen und in einen Batteriespeicher investieren?</w:t>
        <w:br/>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t>Welches Betriebsmodell sich lohnt, hängt von individuellen Faktoren ab. Wir empfehlen eine unabhängige Beratung zum Beispiel durch die Verbraucherzentrale.</w:t>
        <w:br/>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t>Je nach Einspeise-Modell kann sich ein gewerblicher Betrieb lohnen. Denn dann kann man die Umsatzsteuer auf Erwerbs- und Betriebsaufwendungen als Vorsteuer geltend machen.</w:t>
      </w:r>
    </w:p>
    <w:p>
      <w:pPr>
        <w:pStyle w:val="Normal"/>
        <w:spacing w:lineRule="auto" w:line="240" w:before="0" w:after="0"/>
        <w:rPr>
          <w:rFonts w:ascii="Calibri" w:hAnsi="Calibri" w:cs="Calibri" w:asciiTheme="minorHAnsi" w:cstheme="minorHAnsi" w:hAnsiTheme="minorHAnsi"/>
          <w:sz w:val="24"/>
          <w:szCs w:val="24"/>
        </w:rPr>
      </w:pPr>
      <w:r>
        <w:rPr>
          <w:rFonts w:eastAsia="Times New Roman" w:cs="Calibri" w:cstheme="minorHAnsi"/>
          <w:b/>
          <w:color w:val="000000"/>
          <w:sz w:val="32"/>
          <w:szCs w:val="32"/>
          <w:lang w:eastAsia="de-DE"/>
        </w:rPr>
        <w:br/>
        <w:t>Welche Förderung kann ich beantragen?</w:t>
      </w:r>
    </w:p>
    <w:p>
      <w:pPr>
        <w:pStyle w:val="Normal"/>
        <w:spacing w:lineRule="auto" w:line="240" w:before="0" w:after="0"/>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color w:val="000000"/>
          <w:sz w:val="24"/>
          <w:szCs w:val="24"/>
          <w:lang w:eastAsia="de-DE"/>
        </w:rPr>
      </w:r>
    </w:p>
    <w:p>
      <w:pPr>
        <w:pStyle w:val="Normal"/>
        <w:spacing w:lineRule="auto" w:line="240" w:before="0" w:after="0"/>
        <w:rPr>
          <w:rFonts w:ascii="Calibri" w:hAnsi="Calibri" w:cs="Calibri" w:asciiTheme="minorHAnsi" w:cstheme="minorHAnsi" w:hAnsiTheme="minorHAnsi"/>
          <w:sz w:val="24"/>
          <w:szCs w:val="24"/>
        </w:rPr>
      </w:pPr>
      <w:r>
        <w:rPr>
          <w:rFonts w:eastAsia="Noto Sans CJK SC" w:cs="Calibri" w:cstheme="minorHAnsi"/>
          <w:sz w:val="24"/>
          <w:szCs w:val="24"/>
        </w:rPr>
        <w:t>Bereits für die Beratung gibt es Zuschüsse: bis 80% der Beratungskosten, maximal jedoch 1.300 Euro.</w:t>
      </w:r>
    </w:p>
    <w:p>
      <w:pPr>
        <w:pStyle w:val="Normal"/>
        <w:spacing w:lineRule="auto" w:line="240" w:before="0" w:after="0"/>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color w:val="000000"/>
          <w:sz w:val="24"/>
          <w:szCs w:val="24"/>
          <w:lang w:eastAsia="de-DE"/>
        </w:rPr>
      </w:r>
    </w:p>
    <w:p>
      <w:pPr>
        <w:pStyle w:val="Normal"/>
        <w:spacing w:lineRule="auto" w:line="240" w:before="0" w:after="0"/>
        <w:rPr>
          <w:rFonts w:ascii="Calibri" w:hAnsi="Calibri" w:eastAsia="Times New Roman" w:cs="Calibri" w:asciiTheme="minorHAnsi" w:cstheme="minorHAnsi" w:hAnsiTheme="minorHAnsi"/>
          <w:color w:val="000000"/>
          <w:sz w:val="24"/>
          <w:szCs w:val="24"/>
          <w:lang w:eastAsia="de-DE"/>
        </w:rPr>
      </w:pPr>
      <w:r>
        <w:rPr>
          <w:rFonts w:cs="Calibri" w:cstheme="minorHAnsi"/>
          <w:sz w:val="24"/>
          <w:szCs w:val="24"/>
        </w:rPr>
        <w:t>Für den Bau und die Installation einer PV-Anlage gibt es umfangreiche Förderungen, die sich regelmäßig ändern. Hier hilft der Förderkompass bayerischer Energie-Agenturen:</w:t>
      </w:r>
    </w:p>
    <w:p>
      <w:pPr>
        <w:pStyle w:val="Normal"/>
        <w:spacing w:lineRule="auto" w:line="240" w:before="0" w:after="0"/>
        <w:rPr>
          <w:rFonts w:ascii="Calibri" w:hAnsi="Calibri" w:cs="Calibri" w:asciiTheme="minorHAnsi" w:cstheme="minorHAnsi" w:hAnsiTheme="minorHAnsi"/>
        </w:rPr>
      </w:pPr>
      <w:r>
        <w:rPr>
          <w:rStyle w:val="Internetverknpfung"/>
          <w:rFonts w:cs="Calibri" w:cstheme="minorHAnsi"/>
          <w:color w:val="0000FF" w:themeColor="hyperlink"/>
          <w:sz w:val="24"/>
          <w:szCs w:val="24"/>
        </w:rPr>
        <w:t>https://energieagenturen.bayern/hp5837/Foerderkompass.htm</w:t>
      </w:r>
    </w:p>
    <w:p>
      <w:pPr>
        <w:pStyle w:val="Normal"/>
        <w:spacing w:lineRule="auto" w:line="240" w:before="0" w:after="0"/>
        <w:rPr>
          <w:rStyle w:val="Hyperlink1"/>
          <w:rFonts w:ascii="Calibri" w:hAnsi="Calibri" w:cs="Calibri" w:asciiTheme="minorHAnsi" w:cstheme="minorHAnsi" w:hAnsiTheme="minorHAnsi"/>
        </w:rPr>
      </w:pPr>
      <w:r>
        <w:rPr>
          <w:rFonts w:cs="Calibri" w:cstheme="minorHAnsi"/>
        </w:rPr>
      </w:r>
    </w:p>
    <w:p>
      <w:pPr>
        <w:pStyle w:val="Normal"/>
        <w:spacing w:lineRule="auto" w:line="240" w:before="0" w:after="0"/>
        <w:rPr>
          <w:rFonts w:ascii="Calibri" w:hAnsi="Calibri" w:cs="Calibri" w:asciiTheme="minorHAnsi" w:cstheme="minorHAnsi" w:hAnsiTheme="minorHAnsi"/>
        </w:rPr>
      </w:pPr>
      <w:r>
        <w:rPr>
          <w:rFonts w:cs="Calibri" w:cstheme="minorHAnsi"/>
        </w:rPr>
        <w:t>Solaranlagen haben eine lange Lebensdauer. Sie bringen Ertrag, aber verursachen Sie Kosten und werfen Fragen auf. Wir haben viele Fragen bewegt, die Sie individuell nach den Verhältnissen vor Ort und Ihren Wünschen und Präferenzen beantworten sollten. Die anliegende Liste mit Links gibt Ihnen vielfältige Informationen zu diesen Fragen. Einige Antworten haben wir hier gleich eingefügt. Falls Sie sich für eine PV-Anlage entscheiden, empfehlen wir, mindestens zwei, besser drei Angebote einzuholen und Ihre Fragen den anbietenden Firmen vorzulegen.</w:t>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p>
      <w:pPr>
        <w:pStyle w:val="Normal"/>
        <w:spacing w:lineRule="auto" w:line="240" w:before="0" w:after="0"/>
        <w:jc w:val="both"/>
        <w:rPr>
          <w:rFonts w:ascii="Calibri" w:hAnsi="Calibri" w:eastAsia="Times New Roman" w:cs="Calibri" w:asciiTheme="minorHAnsi" w:cstheme="minorHAnsi" w:hAnsiTheme="minorHAnsi"/>
          <w:b/>
          <w:b/>
          <w:color w:val="000000"/>
          <w:sz w:val="32"/>
          <w:szCs w:val="32"/>
          <w:lang w:eastAsia="de-DE"/>
        </w:rPr>
      </w:pPr>
      <w:r>
        <w:rPr>
          <w:rFonts w:eastAsia="Times New Roman" w:cs="Calibri" w:cstheme="minorHAnsi"/>
          <w:b/>
          <w:color w:val="000000"/>
          <w:sz w:val="32"/>
          <w:szCs w:val="32"/>
          <w:lang w:eastAsia="de-DE"/>
        </w:rPr>
        <w:t>Was gibt es generell zu bedenken?</w:t>
      </w:r>
    </w:p>
    <w:p>
      <w:pPr>
        <w:pStyle w:val="Normal"/>
        <w:numPr>
          <w:ilvl w:val="0"/>
          <w:numId w:val="9"/>
        </w:numPr>
        <w:spacing w:lineRule="auto" w:line="240" w:before="240" w:after="0"/>
        <w:jc w:val="both"/>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color w:val="000000"/>
          <w:sz w:val="24"/>
          <w:szCs w:val="24"/>
          <w:lang w:eastAsia="de-DE"/>
        </w:rPr>
        <w:t>Ist das Dach geeignet – Qualität, Statik, etc.?</w:t>
      </w:r>
    </w:p>
    <w:p>
      <w:pPr>
        <w:pStyle w:val="Normal"/>
        <w:numPr>
          <w:ilvl w:val="0"/>
          <w:numId w:val="9"/>
        </w:numPr>
        <w:spacing w:lineRule="auto" w:line="240" w:before="240" w:after="0"/>
        <w:jc w:val="both"/>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color w:val="000000"/>
          <w:sz w:val="24"/>
          <w:szCs w:val="24"/>
          <w:lang w:eastAsia="de-DE"/>
        </w:rPr>
        <w:t>Sollte das Dach vor der Installation einer PV-Anlage saniert und gedämmt werden?</w:t>
      </w:r>
    </w:p>
    <w:p>
      <w:pPr>
        <w:pStyle w:val="Normal"/>
        <w:numPr>
          <w:ilvl w:val="0"/>
          <w:numId w:val="9"/>
        </w:numPr>
        <w:spacing w:lineRule="auto" w:line="240" w:before="240" w:after="0"/>
        <w:jc w:val="both"/>
        <w:rPr>
          <w:rFonts w:ascii="Calibri" w:hAnsi="Calibri" w:eastAsia="Times New Roman" w:cs="Calibri" w:asciiTheme="minorHAnsi" w:cstheme="minorHAnsi" w:hAnsiTheme="minorHAnsi"/>
          <w:color w:val="000000"/>
          <w:sz w:val="24"/>
          <w:szCs w:val="24"/>
          <w:lang w:eastAsia="de-DE"/>
        </w:rPr>
      </w:pPr>
      <w:r>
        <w:rPr>
          <w:rFonts w:cs="Calibri" w:cstheme="minorHAnsi"/>
          <w:sz w:val="24"/>
          <w:szCs w:val="24"/>
        </w:rPr>
        <w:t>Was kostet die Deinstallation und Entsorgung der PV-Anlage? Ist diese bereits im Anschaffungspreis enthalten?</w:t>
      </w:r>
    </w:p>
    <w:p>
      <w:pPr>
        <w:pStyle w:val="Normal"/>
        <w:numPr>
          <w:ilvl w:val="0"/>
          <w:numId w:val="9"/>
        </w:numPr>
        <w:spacing w:lineRule="auto" w:line="240" w:before="240" w:after="0"/>
        <w:jc w:val="both"/>
        <w:rPr>
          <w:rFonts w:ascii="Calibri" w:hAnsi="Calibri" w:eastAsia="Times New Roman" w:cs="Calibri" w:asciiTheme="minorHAnsi" w:cstheme="minorHAnsi" w:hAnsiTheme="minorHAnsi"/>
          <w:color w:val="000000"/>
          <w:sz w:val="24"/>
          <w:szCs w:val="24"/>
          <w:lang w:eastAsia="de-DE"/>
        </w:rPr>
      </w:pPr>
      <w:r>
        <w:rPr>
          <w:rFonts w:cs="Calibri" w:cstheme="minorHAnsi"/>
          <w:sz w:val="24"/>
          <w:szCs w:val="24"/>
        </w:rPr>
        <w:t>Sind Schäden während der Laufzeit durch Garantie des Anbieters oder der Anbieterin gedeckt?</w:t>
      </w:r>
    </w:p>
    <w:p>
      <w:pPr>
        <w:pStyle w:val="Normal"/>
        <w:spacing w:lineRule="auto" w:line="240" w:before="0" w:after="0"/>
        <w:ind w:left="708" w:hanging="0"/>
        <w:jc w:val="both"/>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color w:val="000000"/>
          <w:sz w:val="24"/>
          <w:szCs w:val="24"/>
          <w:lang w:eastAsia="de-DE"/>
        </w:rPr>
      </w:r>
    </w:p>
    <w:p>
      <w:pPr>
        <w:pStyle w:val="Normal"/>
        <w:spacing w:lineRule="auto" w:line="240" w:before="0" w:after="0"/>
        <w:jc w:val="both"/>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b/>
          <w:color w:val="000000"/>
          <w:sz w:val="32"/>
          <w:szCs w:val="32"/>
          <w:lang w:eastAsia="de-DE"/>
        </w:rPr>
        <w:t>Ist ein Batterie-Speicher gefährlich?</w:t>
      </w:r>
    </w:p>
    <w:p>
      <w:pPr>
        <w:pStyle w:val="Normal"/>
        <w:spacing w:lineRule="auto" w:line="240" w:before="0" w:after="0"/>
        <w:ind w:left="708" w:hanging="0"/>
        <w:jc w:val="both"/>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color w:val="000000"/>
          <w:sz w:val="24"/>
          <w:szCs w:val="24"/>
          <w:lang w:eastAsia="de-DE"/>
        </w:rPr>
      </w:r>
    </w:p>
    <w:p>
      <w:pPr>
        <w:pStyle w:val="Normal"/>
        <w:spacing w:lineRule="auto" w:line="240" w:before="0" w:after="0"/>
        <w:jc w:val="both"/>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color w:val="000000"/>
          <w:sz w:val="24"/>
          <w:szCs w:val="24"/>
          <w:lang w:eastAsia="de-DE"/>
        </w:rPr>
        <w:t xml:space="preserve">Die Batterie-Speicher von seriösen Herstellern sind geprüft und gelten als betriebssicher. Dennoch ändert sich mit der Installation die sogenannte Brandlast im Haus. Melden Sie daher die neue PV-Anlage auf jeden Fall bei Ihrer Brand- und Gebäudehaftpflichtversicherung. </w:t>
      </w:r>
    </w:p>
    <w:p>
      <w:pPr>
        <w:pStyle w:val="Normal"/>
        <w:spacing w:lineRule="auto" w:line="240" w:before="240" w:after="0"/>
        <w:rPr>
          <w:rFonts w:ascii="Calibri" w:hAnsi="Calibri" w:cs="Calibri" w:asciiTheme="minorHAnsi" w:cstheme="minorHAnsi" w:hAnsiTheme="minorHAnsi"/>
        </w:rPr>
      </w:pPr>
      <w:r>
        <w:rPr>
          <w:rFonts w:eastAsia="Times New Roman" w:cs="Calibri" w:cstheme="minorHAnsi"/>
          <w:b/>
          <w:color w:val="000000"/>
          <w:sz w:val="32"/>
          <w:szCs w:val="32"/>
          <w:lang w:eastAsia="de-DE"/>
        </w:rPr>
        <w:t>Gibt es bei PV-Anlagen weitere Nebenwirkungen?</w:t>
      </w:r>
      <w:r>
        <w:rPr>
          <w:rFonts w:eastAsia="Times New Roman" w:cs="Calibri" w:cstheme="minorHAnsi"/>
          <w:color w:val="000000"/>
          <w:sz w:val="24"/>
          <w:szCs w:val="24"/>
          <w:lang w:eastAsia="de-DE"/>
        </w:rPr>
        <w:br/>
      </w:r>
    </w:p>
    <w:p>
      <w:pPr>
        <w:pStyle w:val="Normal"/>
        <w:numPr>
          <w:ilvl w:val="0"/>
          <w:numId w:val="7"/>
        </w:numPr>
        <w:spacing w:lineRule="auto" w:line="240" w:before="0" w:after="0"/>
        <w:jc w:val="both"/>
        <w:rPr>
          <w:rFonts w:ascii="Calibri" w:hAnsi="Calibri" w:cs="Calibri" w:asciiTheme="minorHAnsi" w:cstheme="minorHAnsi" w:hAnsiTheme="minorHAnsi"/>
        </w:rPr>
      </w:pPr>
      <w:r>
        <w:rPr>
          <w:rFonts w:eastAsia="Times New Roman" w:cs="Calibri" w:cstheme="minorHAnsi"/>
          <w:color w:val="000000"/>
          <w:sz w:val="24"/>
          <w:szCs w:val="24"/>
          <w:lang w:eastAsia="de-DE"/>
        </w:rPr>
        <w:t>Wie laut sind die Wechselrichter?</w:t>
      </w:r>
    </w:p>
    <w:p>
      <w:pPr>
        <w:pStyle w:val="Normal"/>
        <w:numPr>
          <w:ilvl w:val="0"/>
          <w:numId w:val="7"/>
        </w:numPr>
        <w:spacing w:lineRule="auto" w:line="240" w:before="0" w:after="0"/>
        <w:jc w:val="both"/>
        <w:rPr>
          <w:rFonts w:ascii="Calibri" w:hAnsi="Calibri" w:cs="Calibri" w:asciiTheme="minorHAnsi" w:cstheme="minorHAnsi" w:hAnsiTheme="minorHAnsi"/>
        </w:rPr>
      </w:pPr>
      <w:r>
        <w:rPr>
          <w:rFonts w:eastAsia="Times New Roman" w:cs="Calibri" w:cstheme="minorHAnsi"/>
          <w:color w:val="000000"/>
          <w:sz w:val="24"/>
          <w:szCs w:val="24"/>
          <w:lang w:eastAsia="de-DE"/>
        </w:rPr>
        <w:t>Blenden die PV-Module?</w:t>
      </w:r>
    </w:p>
    <w:p>
      <w:pPr>
        <w:pStyle w:val="Normal"/>
        <w:numPr>
          <w:ilvl w:val="0"/>
          <w:numId w:val="7"/>
        </w:numPr>
        <w:spacing w:lineRule="auto" w:line="240" w:before="0" w:after="0"/>
        <w:jc w:val="both"/>
        <w:rPr/>
      </w:pPr>
      <w:r>
        <w:rPr>
          <w:rFonts w:eastAsia="Times New Roman" w:cs="Calibri" w:cstheme="minorHAnsi"/>
          <w:color w:val="000000"/>
          <w:sz w:val="24"/>
          <w:szCs w:val="24"/>
          <w:lang w:eastAsia="de-DE"/>
        </w:rPr>
        <w:t>Müssen stärkere Kabel im Haus oder neue Zuleitungen zum Haus verlegt werden?</w:t>
      </w:r>
    </w:p>
    <w:p>
      <w:pPr>
        <w:pStyle w:val="Normal"/>
        <w:numPr>
          <w:ilvl w:val="0"/>
          <w:numId w:val="7"/>
        </w:numPr>
        <w:spacing w:lineRule="auto" w:line="240" w:before="0" w:after="0"/>
        <w:rPr>
          <w:rFonts w:ascii="Calibri" w:hAnsi="Calibri" w:cs="Calibri" w:asciiTheme="minorHAnsi" w:cstheme="minorHAnsi" w:hAnsiTheme="minorHAnsi"/>
        </w:rPr>
      </w:pPr>
      <w:r>
        <w:rPr>
          <w:rFonts w:eastAsia="Times New Roman" w:cs="Calibri" w:cstheme="minorHAnsi"/>
          <w:color w:val="000000"/>
          <w:sz w:val="24"/>
          <w:szCs w:val="24"/>
          <w:lang w:eastAsia="de-DE"/>
        </w:rPr>
        <w:t>Entstehen durch die Wechselrichter oder andere technische Gegebenheiten irgendwelche Strahlen/Wellen oder sonstige Phänomene, die sich auf Lebewesen negativ auswirken?</w:t>
      </w:r>
    </w:p>
    <w:p>
      <w:pPr>
        <w:pStyle w:val="ListParagraph"/>
        <w:numPr>
          <w:ilvl w:val="0"/>
          <w:numId w:val="7"/>
        </w:numPr>
        <w:spacing w:lineRule="auto" w:line="240" w:before="0" w:after="0"/>
        <w:contextualSpacing/>
        <w:jc w:val="both"/>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color w:val="000000"/>
          <w:sz w:val="24"/>
          <w:szCs w:val="24"/>
          <w:lang w:eastAsia="de-DE"/>
        </w:rPr>
        <w:t>Welche wirtschaftlichen Risiken gibt es? Deckt das meine Versicherung?</w:t>
      </w:r>
    </w:p>
    <w:p>
      <w:pPr>
        <w:pStyle w:val="Normal"/>
        <w:spacing w:lineRule="auto" w:line="240" w:before="0" w:after="0"/>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color w:val="000000"/>
          <w:sz w:val="24"/>
          <w:szCs w:val="24"/>
          <w:lang w:eastAsia="de-DE"/>
        </w:rPr>
      </w:r>
    </w:p>
    <w:p>
      <w:pPr>
        <w:pStyle w:val="Normal"/>
        <w:spacing w:lineRule="auto" w:line="240" w:before="0" w:after="0"/>
        <w:rPr>
          <w:rFonts w:ascii="Calibri" w:hAnsi="Calibri" w:eastAsia="Times New Roman" w:cs="Calibri" w:asciiTheme="minorHAnsi" w:cstheme="minorHAnsi" w:hAnsiTheme="minorHAnsi"/>
          <w:color w:val="000000"/>
          <w:sz w:val="24"/>
          <w:szCs w:val="24"/>
          <w:lang w:eastAsia="de-DE"/>
        </w:rPr>
      </w:pPr>
      <w:r>
        <w:rPr>
          <w:rFonts w:eastAsia="Times New Roman" w:cs="Calibri" w:cstheme="minorHAnsi"/>
          <w:color w:val="000000"/>
          <w:sz w:val="24"/>
          <w:szCs w:val="24"/>
          <w:lang w:eastAsia="de-DE"/>
        </w:rPr>
        <w:t xml:space="preserve">Infomieren Sie sich über die Liste der unten angefügten </w:t>
      </w:r>
      <w:hyperlink w:anchor="RANGE!A32">
        <w:r>
          <w:rPr>
            <w:rStyle w:val="Internetverknpfung"/>
            <w:rFonts w:eastAsia="Times New Roman" w:cs="Calibri" w:cstheme="minorHAnsi"/>
            <w:color w:val="0000FF" w:themeColor="hyperlink"/>
            <w:sz w:val="24"/>
            <w:szCs w:val="24"/>
            <w:lang w:eastAsia="de-DE"/>
          </w:rPr>
          <w:t>L</w:t>
        </w:r>
        <w:r>
          <w:rPr>
            <w:rStyle w:val="Internetverknpfung"/>
            <w:rFonts w:eastAsia="Times New Roman" w:cs="Calibri" w:cstheme="minorHAnsi"/>
            <w:color w:val="0000FF" w:themeColor="hyperlink"/>
            <w:sz w:val="24"/>
            <w:szCs w:val="24"/>
          </w:rPr>
          <w:t>inks</w:t>
        </w:r>
      </w:hyperlink>
      <w:r>
        <w:rPr>
          <w:rFonts w:eastAsia="Times New Roman" w:cs="Calibri" w:cstheme="minorHAnsi"/>
          <w:color w:val="000000"/>
          <w:sz w:val="24"/>
          <w:szCs w:val="24"/>
          <w:lang w:eastAsia="de-DE"/>
        </w:rPr>
        <w:t>.</w:t>
      </w:r>
    </w:p>
    <w:p>
      <w:pPr>
        <w:pStyle w:val="Normal"/>
        <w:spacing w:lineRule="auto" w:line="240" w:before="240" w:after="0"/>
        <w:rPr>
          <w:rFonts w:ascii="Calibri" w:hAnsi="Calibri" w:cs="Calibri" w:asciiTheme="minorHAnsi" w:cstheme="minorHAnsi" w:hAnsiTheme="minorHAnsi"/>
          <w:sz w:val="24"/>
          <w:szCs w:val="24"/>
        </w:rPr>
      </w:pPr>
      <w:r>
        <w:rPr>
          <w:rFonts w:eastAsia="Times New Roman" w:cs="Calibri" w:cstheme="minorHAnsi"/>
          <w:b/>
          <w:color w:val="000000"/>
          <w:sz w:val="32"/>
          <w:szCs w:val="32"/>
          <w:lang w:eastAsia="de-DE"/>
        </w:rPr>
        <w:t>Mein Gebäude steht unter Denkmalschutz – und nun?</w:t>
      </w:r>
      <w:r>
        <w:rPr>
          <w:rFonts w:cs="Calibri" w:cstheme="minorHAnsi"/>
          <w:sz w:val="24"/>
          <w:szCs w:val="24"/>
        </w:rPr>
        <w:br/>
      </w:r>
    </w:p>
    <w:p>
      <w:pPr>
        <w:pStyle w:val="Normal"/>
        <w:spacing w:lineRule="auto" w:line="240" w:before="0" w:after="0"/>
        <w:rPr>
          <w:rFonts w:ascii="Calibri" w:hAnsi="Calibri" w:eastAsia="Times New Roman" w:cs="Calibri" w:asciiTheme="minorHAnsi" w:cstheme="minorHAnsi" w:hAnsiTheme="minorHAnsi"/>
          <w:color w:val="000000"/>
          <w:sz w:val="24"/>
          <w:szCs w:val="24"/>
          <w:lang w:eastAsia="de-DE"/>
        </w:rPr>
      </w:pPr>
      <w:r>
        <w:rPr>
          <w:rFonts w:cs="Calibri" w:cstheme="minorHAnsi"/>
          <w:sz w:val="24"/>
          <w:szCs w:val="24"/>
        </w:rPr>
        <w:t>Bei denkmalgeschützten Immobilien ist eine vorherige Erlaubnis beim Denkmalamt einzuholen.</w:t>
      </w:r>
    </w:p>
    <w:p>
      <w:pPr>
        <w:pStyle w:val="Berschrift11"/>
        <w:numPr>
          <w:ilvl w:val="0"/>
          <w:numId w:val="3"/>
        </w:numPr>
        <w:rPr>
          <w:rFonts w:ascii="Calibri" w:hAnsi="Calibri" w:eastAsia="Calibri" w:cs="Calibri" w:asciiTheme="minorHAnsi" w:cstheme="minorHAnsi" w:hAnsiTheme="minorHAnsi"/>
          <w:b w:val="false"/>
          <w:b w:val="false"/>
          <w:bCs w:val="false"/>
          <w:sz w:val="24"/>
          <w:szCs w:val="24"/>
        </w:rPr>
      </w:pPr>
      <w:bookmarkStart w:id="11" w:name="__RefHeading___Toc35595_2500843206"/>
      <w:bookmarkEnd w:id="11"/>
      <w:r>
        <w:rPr>
          <w:rFonts w:eastAsia="Times New Roman" w:cs="Calibri" w:cstheme="minorHAnsi"/>
          <w:color w:val="000000"/>
          <w:sz w:val="32"/>
          <w:szCs w:val="32"/>
          <w:lang w:eastAsia="de-DE"/>
        </w:rPr>
        <w:t>Wo finde ich ein Verzeichnis von Beratungsstellen?</w:t>
      </w:r>
    </w:p>
    <w:p>
      <w:pPr>
        <w:pStyle w:val="Normal"/>
        <w:spacing w:lineRule="auto" w:line="240" w:before="0" w:after="0"/>
        <w:rPr/>
      </w:pPr>
      <w:r>
        <w:rPr>
          <w:rFonts w:cs="Calibri" w:cstheme="minorHAnsi"/>
          <w:sz w:val="24"/>
          <w:szCs w:val="24"/>
        </w:rPr>
        <w:t xml:space="preserve">Es gibt verschiedene Informationsquellen: </w:t>
        <w:br/>
      </w:r>
    </w:p>
    <w:p>
      <w:pPr>
        <w:pStyle w:val="ListParagraph"/>
        <w:numPr>
          <w:ilvl w:val="0"/>
          <w:numId w:val="8"/>
        </w:numPr>
        <w:rPr>
          <w:rFonts w:ascii="Calibri" w:hAnsi="Calibri" w:cs="Calibri" w:asciiTheme="minorHAnsi" w:cstheme="minorHAnsi" w:hAnsiTheme="minorHAnsi"/>
          <w:sz w:val="24"/>
          <w:szCs w:val="24"/>
        </w:rPr>
      </w:pPr>
      <w:r>
        <w:rPr>
          <w:rFonts w:cs="Calibri" w:cstheme="minorHAnsi"/>
          <w:sz w:val="24"/>
          <w:szCs w:val="24"/>
        </w:rPr>
        <w:t>Link Verbraucherzentrale</w:t>
      </w:r>
    </w:p>
    <w:p>
      <w:pPr>
        <w:pStyle w:val="ListParagraph"/>
        <w:numPr>
          <w:ilvl w:val="0"/>
          <w:numId w:val="8"/>
        </w:numPr>
        <w:rPr>
          <w:rFonts w:ascii="Calibri" w:hAnsi="Calibri" w:cs="Calibri" w:asciiTheme="minorHAnsi" w:cstheme="minorHAnsi" w:hAnsiTheme="minorHAnsi"/>
          <w:sz w:val="24"/>
          <w:szCs w:val="24"/>
        </w:rPr>
      </w:pPr>
      <w:r>
        <w:rPr>
          <w:rFonts w:cs="Calibri" w:cstheme="minorHAnsi"/>
          <w:sz w:val="24"/>
          <w:szCs w:val="24"/>
        </w:rPr>
        <w:t>Aus dem Netz: Expertensuche für Energieberatung:</w:t>
      </w:r>
    </w:p>
    <w:p>
      <w:pPr>
        <w:pStyle w:val="ListParagraph"/>
        <w:numPr>
          <w:ilvl w:val="0"/>
          <w:numId w:val="8"/>
        </w:numPr>
        <w:rPr>
          <w:rFonts w:ascii="Calibri" w:hAnsi="Calibri" w:cs="Calibri" w:asciiTheme="minorHAnsi" w:cstheme="minorHAnsi" w:hAnsiTheme="minorHAnsi"/>
          <w:sz w:val="24"/>
          <w:szCs w:val="24"/>
        </w:rPr>
      </w:pPr>
      <w:hyperlink r:id="rId6">
        <w:r>
          <w:rPr/>
          <w:t>https://www.energie-effizienz-experten.de/</w:t>
        </w:r>
      </w:hyperlink>
      <w:r>
        <w:rPr>
          <w:rFonts w:cs="Calibri" w:cstheme="minorHAnsi"/>
          <w:sz w:val="24"/>
          <w:szCs w:val="24"/>
        </w:rPr>
        <w:t xml:space="preserve"> </w:t>
      </w:r>
    </w:p>
    <w:p>
      <w:pPr>
        <w:pStyle w:val="ListParagraph"/>
        <w:numPr>
          <w:ilvl w:val="0"/>
          <w:numId w:val="8"/>
        </w:numPr>
        <w:rPr>
          <w:rFonts w:ascii="Calibri" w:hAnsi="Calibri" w:cs="Calibri" w:asciiTheme="minorHAnsi" w:cstheme="minorHAnsi" w:hAnsiTheme="minorHAnsi"/>
          <w:sz w:val="24"/>
          <w:szCs w:val="24"/>
        </w:rPr>
      </w:pPr>
      <w:r>
        <w:rPr>
          <w:rFonts w:cs="Calibri" w:cstheme="minorHAnsi"/>
          <w:sz w:val="24"/>
          <w:szCs w:val="24"/>
        </w:rPr>
        <w:t>Alle seriösen Anbieter, die für ein Angebot kontaktiert werden, werden aus ihrer Sicht ebenfalls ihren Rat und ihre Berechnungen anbieten.</w:t>
      </w:r>
    </w:p>
    <w:p>
      <w:pPr>
        <w:pStyle w:val="Normal"/>
        <w:spacing w:lineRule="auto" w:line="240" w:before="0" w:after="0"/>
        <w:ind w:left="1416" w:hanging="0"/>
        <w:rPr>
          <w:rFonts w:ascii="Calibri" w:hAnsi="Calibri" w:cs="Calibri" w:asciiTheme="minorHAnsi" w:cstheme="minorHAnsi" w:hAnsiTheme="minorHAnsi"/>
          <w:sz w:val="24"/>
          <w:szCs w:val="24"/>
        </w:rPr>
      </w:pPr>
      <w:r>
        <w:rPr>
          <w:rFonts w:cs="Calibri" w:cstheme="minorHAnsi"/>
          <w:sz w:val="24"/>
          <w:szCs w:val="24"/>
        </w:rPr>
      </w:r>
    </w:p>
    <w:p>
      <w:pPr>
        <w:pStyle w:val="Berschrift11"/>
        <w:numPr>
          <w:ilvl w:val="0"/>
          <w:numId w:val="2"/>
        </w:numPr>
        <w:rPr>
          <w:rFonts w:ascii="Calibri" w:hAnsi="Calibri" w:cs="Calibri" w:asciiTheme="minorHAnsi" w:cstheme="minorHAnsi" w:hAnsiTheme="minorHAnsi"/>
        </w:rPr>
      </w:pPr>
      <w:bookmarkStart w:id="12" w:name="__RefHeading___Toc35597_2500843206"/>
      <w:bookmarkStart w:id="13" w:name="_Toc76333163"/>
      <w:bookmarkStart w:id="14" w:name="_Toc73524269"/>
      <w:bookmarkEnd w:id="12"/>
      <w:r>
        <w:rPr/>
        <w:t>Für Eigentümer:innen</w:t>
      </w:r>
      <w:bookmarkEnd w:id="13"/>
      <w:bookmarkEnd w:id="14"/>
    </w:p>
    <w:p>
      <w:pPr>
        <w:pStyle w:val="Berschrift31"/>
        <w:numPr>
          <w:ilvl w:val="2"/>
          <w:numId w:val="3"/>
        </w:numPr>
        <w:rPr>
          <w:rFonts w:ascii="Calibri" w:hAnsi="Calibri" w:cs="Calibri" w:asciiTheme="minorHAnsi" w:cstheme="minorHAnsi" w:hAnsiTheme="minorHAnsi"/>
        </w:rPr>
      </w:pPr>
      <w:bookmarkStart w:id="15" w:name="__RefHeading___Toc2854_4199822208"/>
      <w:bookmarkStart w:id="16" w:name="_Toc76333164"/>
      <w:bookmarkStart w:id="17" w:name="_Toc73524270"/>
      <w:bookmarkEnd w:id="15"/>
      <w:r>
        <w:rPr>
          <w:rFonts w:cs="Calibri" w:ascii="Calibri" w:hAnsi="Calibri" w:asciiTheme="minorHAnsi" w:cstheme="minorHAnsi" w:hAnsiTheme="minorHAnsi"/>
        </w:rPr>
        <w:t>1. Etappe: Ein Blick in das Solarpotenzialkataster – Grobprüfung: Ja oder Nein?</w:t>
      </w:r>
      <w:bookmarkEnd w:id="16"/>
      <w:bookmarkEnd w:id="17"/>
    </w:p>
    <w:p>
      <w:pPr>
        <w:pStyle w:val="Normal"/>
        <w:numPr>
          <w:ilvl w:val="2"/>
          <w:numId w:val="3"/>
        </w:numPr>
        <w:rPr>
          <w:rFonts w:ascii="Calibri" w:hAnsi="Calibri" w:cs="Calibri" w:asciiTheme="minorHAnsi" w:cstheme="minorHAnsi" w:hAnsiTheme="minorHAnsi"/>
        </w:rPr>
      </w:pPr>
      <w:r>
        <w:rPr>
          <w:rStyle w:val="Internetverknpfung"/>
          <w:color w:val="0000FF" w:themeColor="hyperlink"/>
        </w:rPr>
        <w:t>www.solare-stadt.de/main-spessart/Solarpotenzialkataster</w:t>
      </w:r>
    </w:p>
    <w:p>
      <w:pPr>
        <w:pStyle w:val="Normal"/>
        <w:numPr>
          <w:ilvl w:val="2"/>
          <w:numId w:val="3"/>
        </w:numPr>
        <w:rPr>
          <w:rFonts w:ascii="Calibri" w:hAnsi="Calibri" w:cs="Calibri" w:asciiTheme="minorHAnsi" w:cstheme="minorHAnsi" w:hAnsiTheme="minorHAnsi"/>
        </w:rPr>
      </w:pPr>
      <w:r>
        <w:rPr>
          <w:rFonts w:cs="Calibri" w:cstheme="minorHAnsi"/>
          <w:sz w:val="24"/>
          <w:szCs w:val="24"/>
        </w:rPr>
        <w:t xml:space="preserve">Navigieren Sie im Menü nach Gemünden, dann können Sie Ihr Dach auf der Karte finden. Eine Ampel zeigt, wie geeignet es ist. Beim Landratsamt gibt es weitere Informationen: </w:t>
      </w:r>
      <w:hyperlink r:id="rId7">
        <w:r>
          <w:rPr>
            <w:rStyle w:val="Internetverknpfung"/>
            <w:rFonts w:cs="Calibri" w:cstheme="minorHAnsi"/>
            <w:color w:val="0000FF" w:themeColor="hyperlink"/>
            <w:sz w:val="24"/>
            <w:szCs w:val="24"/>
          </w:rPr>
          <w:t>www.solare-stadt.de/main-spessart/Planungshinweise</w:t>
        </w:r>
      </w:hyperlink>
      <w:r>
        <w:rPr>
          <w:rFonts w:cs="Calibri" w:cstheme="minorHAnsi"/>
          <w:sz w:val="24"/>
          <w:szCs w:val="24"/>
        </w:rPr>
        <w:t xml:space="preserve"> </w:t>
      </w:r>
    </w:p>
    <w:p>
      <w:pPr>
        <w:pStyle w:val="Normal"/>
        <w:rPr/>
      </w:pPr>
      <w:r>
        <w:rPr>
          <w:rFonts w:cs="Calibri" w:cstheme="minorHAnsi"/>
          <w:b/>
          <w:bCs/>
          <w:sz w:val="24"/>
          <w:szCs w:val="24"/>
        </w:rPr>
        <w:t xml:space="preserve">Die folgenden Etappen stammen aus dem vorstehenden Link des Landratsamtes Main-Spessart, dessen Wegbeschreibung wir etwas erweitert haben. Zudem haben wir für die Etappen </w:t>
      </w:r>
      <w:hyperlink w:anchor="Links">
        <w:r>
          <w:rPr>
            <w:rStyle w:val="Internetverknpfung"/>
            <w:rFonts w:cs="Calibri" w:cstheme="minorHAnsi"/>
            <w:color w:val="0000FF" w:themeColor="hyperlink"/>
          </w:rPr>
          <w:t>nützliche Links</w:t>
        </w:r>
      </w:hyperlink>
      <w:r>
        <w:rPr>
          <w:rFonts w:cs="Calibri" w:cstheme="minorHAnsi"/>
          <w:b/>
          <w:bCs/>
          <w:sz w:val="24"/>
          <w:szCs w:val="24"/>
        </w:rPr>
        <w:t xml:space="preserve"> erstellt.</w:t>
      </w:r>
    </w:p>
    <w:p>
      <w:pPr>
        <w:pStyle w:val="Berschrift31"/>
        <w:numPr>
          <w:ilvl w:val="2"/>
          <w:numId w:val="3"/>
        </w:numPr>
        <w:rPr>
          <w:rFonts w:ascii="Calibri" w:hAnsi="Calibri" w:cs="Calibri" w:asciiTheme="minorHAnsi" w:cstheme="minorHAnsi" w:hAnsiTheme="minorHAnsi"/>
          <w:sz w:val="24"/>
          <w:szCs w:val="24"/>
        </w:rPr>
      </w:pPr>
      <w:bookmarkStart w:id="18" w:name="__RefHeading___Toc35603_2500843206"/>
      <w:bookmarkStart w:id="19" w:name="_Toc76333165"/>
      <w:bookmarkStart w:id="20" w:name="_Toc73524271"/>
      <w:bookmarkEnd w:id="18"/>
      <w:r>
        <w:rPr>
          <w:rFonts w:cs="Calibri" w:ascii="Calibri" w:hAnsi="Calibri" w:asciiTheme="minorHAnsi" w:cstheme="minorHAnsi" w:hAnsiTheme="minorHAnsi"/>
        </w:rPr>
        <w:t>2. Etappe: Beratung vor Ort und die Wahl des Angebotes</w:t>
      </w:r>
      <w:bookmarkEnd w:id="19"/>
      <w:bookmarkEnd w:id="20"/>
    </w:p>
    <w:p>
      <w:pPr>
        <w:pStyle w:val="Textkrper"/>
        <w:rPr/>
      </w:pPr>
      <w:r>
        <w:rPr>
          <w:rFonts w:cs="Calibri" w:cstheme="minorHAnsi"/>
          <w:sz w:val="24"/>
          <w:szCs w:val="24"/>
        </w:rPr>
        <w:t xml:space="preserve">Ist Ihr Dach geeignet, lassen Sie sich als nächstes beraten. Sie können eine unabhängige Beratung von der Verbraucherzentrale bekommen. Wenn Sie sich bereits entschieden haben, kontaktieren Sie Handwerker:innen, die Erfahrung bei der Installation von PV-Anlagen haben. In der Regel sind dies Mitarbeitende von Fachbetrieben der Elektro-Innung und des Dachdecker-Handwerks. Bei solarthermischen Anlagen sind es Installateur:innen der Sanitär- und Heizungs-Innung (SHK). </w:t>
      </w:r>
    </w:p>
    <w:p>
      <w:pPr>
        <w:pStyle w:val="Textkrper"/>
        <w:rPr/>
      </w:pPr>
      <w:r>
        <w:rPr>
          <w:rFonts w:cs="Calibri" w:cstheme="minorHAnsi"/>
          <w:sz w:val="24"/>
          <w:szCs w:val="24"/>
        </w:rPr>
        <w:t xml:space="preserve">Dann wird sich ein/e Mitarbeiter:in der Solarfirma Ihr Dach ansehen: die statische Eignung abschätzen, die bestmögliche Anlagenauslegung und die Installationsstandorte mit Ihnen gemeinsam ermitteln. Außerdem wird geprüft, wie Ihre PV-Anlage ans öffentliche Stromnetz angeschlossen werden kann. Bei großen PV-Anlagen muss der nächste Einspeisepunkt mit dem Netzbetreiber abgeklärt werden, bei kleinen PV-Anlagen reicht in der Regel die Prüfung des Hausanschlusses. </w:t>
      </w:r>
    </w:p>
    <w:p>
      <w:pPr>
        <w:pStyle w:val="Textkrper"/>
        <w:rPr>
          <w:rFonts w:ascii="Calibri" w:hAnsi="Calibri" w:cs="Calibri" w:asciiTheme="minorHAnsi" w:cstheme="minorHAnsi" w:hAnsiTheme="minorHAnsi"/>
          <w:sz w:val="24"/>
          <w:szCs w:val="24"/>
        </w:rPr>
      </w:pPr>
      <w:r>
        <w:rPr>
          <w:rFonts w:cs="Calibri" w:cstheme="minorHAnsi"/>
          <w:sz w:val="24"/>
          <w:szCs w:val="24"/>
        </w:rPr>
        <w:t xml:space="preserve">Im nächsten Schritt wird Ihnen ein Angebot seitens der Solarfirma gemacht. </w:t>
      </w:r>
    </w:p>
    <w:p>
      <w:pPr>
        <w:pStyle w:val="Textkrper"/>
        <w:rPr/>
      </w:pPr>
      <w:r>
        <w:rPr>
          <w:rFonts w:cs="Calibri" w:cstheme="minorHAnsi"/>
          <w:sz w:val="24"/>
          <w:szCs w:val="24"/>
        </w:rPr>
        <w:t xml:space="preserve">Um einen Vergleich zu haben und die richtige Entscheidung treffen zu können, sollten Sie von mindestens drei Solarfirmen ein Angebot einholen. </w:t>
      </w:r>
    </w:p>
    <w:p>
      <w:pPr>
        <w:pStyle w:val="Berschrift31"/>
        <w:numPr>
          <w:ilvl w:val="2"/>
          <w:numId w:val="3"/>
        </w:numPr>
        <w:rPr>
          <w:rFonts w:ascii="Calibri" w:hAnsi="Calibri" w:cs="Calibri" w:asciiTheme="minorHAnsi" w:cstheme="minorHAnsi" w:hAnsiTheme="minorHAnsi"/>
          <w:sz w:val="24"/>
          <w:szCs w:val="24"/>
        </w:rPr>
      </w:pPr>
      <w:bookmarkStart w:id="21" w:name="__RefHeading___Toc35605_2500843206"/>
      <w:bookmarkStart w:id="22" w:name="_Toc76333166"/>
      <w:bookmarkStart w:id="23" w:name="_Toc73524272"/>
      <w:bookmarkEnd w:id="21"/>
      <w:r>
        <w:rPr>
          <w:rFonts w:cs="Calibri" w:ascii="Calibri" w:hAnsi="Calibri" w:asciiTheme="minorHAnsi" w:cstheme="minorHAnsi" w:hAnsiTheme="minorHAnsi"/>
        </w:rPr>
        <w:t>3. Etappe: Finanzierung sichern</w:t>
      </w:r>
      <w:bookmarkEnd w:id="22"/>
      <w:bookmarkEnd w:id="23"/>
    </w:p>
    <w:p>
      <w:pPr>
        <w:pStyle w:val="Textkrper"/>
        <w:rPr>
          <w:rFonts w:ascii="Calibri" w:hAnsi="Calibri" w:cs="Calibri" w:asciiTheme="minorHAnsi" w:cstheme="minorHAnsi" w:hAnsiTheme="minorHAnsi"/>
          <w:sz w:val="24"/>
          <w:szCs w:val="24"/>
        </w:rPr>
      </w:pPr>
      <w:r>
        <w:rPr>
          <w:rFonts w:cs="Calibri" w:cstheme="minorHAnsi"/>
          <w:sz w:val="24"/>
          <w:szCs w:val="24"/>
        </w:rPr>
        <w:t xml:space="preserve">Danach geht es an die Finanzierung. Entweder man nutzt vorhandenes Eigenkapital, nutzt Fördermittel oder -kredite, finanziert selbst über eine Bank oder lässt das komplette Vorhaben über Dritte (Contracting mit Planung, Bau, Betrieb und Finanzierung gegen eine monatliche Geldrate) umsetzen – auch Kombinationen sind möglich. </w:t>
      </w:r>
    </w:p>
    <w:p>
      <w:pPr>
        <w:pStyle w:val="Textkrper"/>
        <w:rPr/>
      </w:pPr>
      <w:r>
        <w:rPr>
          <w:rFonts w:cs="Calibri" w:cstheme="minorHAnsi"/>
          <w:sz w:val="24"/>
          <w:szCs w:val="24"/>
        </w:rPr>
        <w:t xml:space="preserve">Erkundigen Sie sich bei Ihrer Hausbank über die verschiedenen Möglichkeiten. Sie sollten bei der gesamten Planung Ihrer Solaranlage auf Ihre Finanzierungslösung achten. </w:t>
      </w:r>
      <w:r>
        <w:rPr>
          <w:rFonts w:cs="Calibri" w:cstheme="minorHAnsi"/>
          <w:b/>
          <w:bCs/>
          <w:sz w:val="24"/>
          <w:szCs w:val="24"/>
        </w:rPr>
        <w:t xml:space="preserve">Auf keinen Fall sollten Sie vor einer Förderzusage einen Auftrag vergeben; denn das schließt in der Regel die Förderung aus. </w:t>
      </w:r>
    </w:p>
    <w:p>
      <w:pPr>
        <w:pStyle w:val="Berschrift31"/>
        <w:numPr>
          <w:ilvl w:val="2"/>
          <w:numId w:val="3"/>
        </w:numPr>
        <w:rPr>
          <w:rFonts w:ascii="Calibri" w:hAnsi="Calibri" w:cs="Calibri" w:asciiTheme="minorHAnsi" w:cstheme="minorHAnsi" w:hAnsiTheme="minorHAnsi"/>
          <w:sz w:val="24"/>
          <w:szCs w:val="24"/>
        </w:rPr>
      </w:pPr>
      <w:bookmarkStart w:id="24" w:name="__RefHeading___Toc35607_2500843206"/>
      <w:bookmarkStart w:id="25" w:name="_Toc73524273"/>
      <w:bookmarkStart w:id="26" w:name="_Toc76333167"/>
      <w:bookmarkEnd w:id="24"/>
      <w:r>
        <w:rPr>
          <w:rFonts w:cs="Calibri" w:ascii="Calibri" w:hAnsi="Calibri" w:asciiTheme="minorHAnsi" w:cstheme="minorHAnsi" w:hAnsiTheme="minorHAnsi"/>
        </w:rPr>
        <w:t>4. Etappe: Auftrag vergeben</w:t>
      </w:r>
      <w:bookmarkEnd w:id="25"/>
      <w:bookmarkEnd w:id="26"/>
    </w:p>
    <w:p>
      <w:pPr>
        <w:pStyle w:val="Textkrper"/>
        <w:rPr>
          <w:rFonts w:ascii="Calibri" w:hAnsi="Calibri" w:cs="Calibri" w:asciiTheme="minorHAnsi" w:cstheme="minorHAnsi" w:hAnsiTheme="minorHAnsi"/>
        </w:rPr>
      </w:pPr>
      <w:r>
        <w:rPr>
          <w:rFonts w:cs="Calibri" w:cstheme="minorHAnsi"/>
          <w:sz w:val="24"/>
          <w:szCs w:val="24"/>
        </w:rPr>
        <w:t xml:space="preserve">Achten Sie darauf, dass Sie Ihre etwaigen Förderanträge vor Auftragsvergabe eingereicht haben. Dies ist meist, wenn nicht immer, Voraussetzung für die Förderung. </w:t>
      </w:r>
    </w:p>
    <w:p>
      <w:pPr>
        <w:pStyle w:val="Textkrper"/>
        <w:rPr>
          <w:rFonts w:ascii="Calibri" w:hAnsi="Calibri" w:cs="Calibri" w:asciiTheme="minorHAnsi" w:cstheme="minorHAnsi" w:hAnsiTheme="minorHAnsi"/>
          <w:sz w:val="24"/>
          <w:szCs w:val="24"/>
        </w:rPr>
      </w:pPr>
      <w:r>
        <w:rPr>
          <w:rFonts w:cs="Calibri" w:cstheme="minorHAnsi"/>
          <w:sz w:val="24"/>
          <w:szCs w:val="24"/>
        </w:rPr>
        <w:t xml:space="preserve">Achten Sie bei der Auftragsvergabe unbedingt auf die Zahlungsmodalitäten. Vereinbaren Sie möglichst einen konkreten Fertigstellungstermin und beziehen Sie sich bei aller Korrespondenz immer auf das Angebot. </w:t>
      </w:r>
    </w:p>
    <w:p>
      <w:pPr>
        <w:pStyle w:val="Textkrper"/>
        <w:rPr>
          <w:rFonts w:ascii="Calibri" w:hAnsi="Calibri" w:cs="Calibri" w:asciiTheme="minorHAnsi" w:cstheme="minorHAnsi" w:hAnsiTheme="minorHAnsi"/>
          <w:sz w:val="24"/>
          <w:szCs w:val="24"/>
        </w:rPr>
      </w:pPr>
      <w:r>
        <w:rPr>
          <w:rFonts w:cs="Calibri" w:cstheme="minorHAnsi"/>
          <w:sz w:val="24"/>
          <w:szCs w:val="24"/>
        </w:rPr>
        <w:t xml:space="preserve">Liegt der Fertigstellungstermin einer PV-Anlage knapp vor einer Änderung der Einspeisevergütung, sollten Sie spezielle Vereinbarungen zum spätesten Zeitpunkt der Inbetriebnahme treffen. Für den Fall, dass der Termin überschritten wird, vereinbaren Sie bereits zeitgleich mit der Auftragsvergabe einen entsprechenden Nachlass. Dieser sollte den Verlust der höheren Einspeisevergütung über 20 Jahre kompensieren. </w:t>
      </w:r>
    </w:p>
    <w:p>
      <w:pPr>
        <w:pStyle w:val="Berschrift31"/>
        <w:numPr>
          <w:ilvl w:val="2"/>
          <w:numId w:val="3"/>
        </w:numPr>
        <w:rPr>
          <w:rFonts w:ascii="Calibri" w:hAnsi="Calibri" w:cs="Calibri" w:asciiTheme="minorHAnsi" w:cstheme="minorHAnsi" w:hAnsiTheme="minorHAnsi"/>
          <w:sz w:val="24"/>
          <w:szCs w:val="24"/>
        </w:rPr>
      </w:pPr>
      <w:bookmarkStart w:id="27" w:name="__RefHeading___Toc35609_2500843206"/>
      <w:bookmarkStart w:id="28" w:name="_Toc76333168"/>
      <w:bookmarkStart w:id="29" w:name="_Toc73524274"/>
      <w:bookmarkEnd w:id="27"/>
      <w:r>
        <w:rPr>
          <w:rFonts w:cs="Calibri" w:ascii="Calibri" w:hAnsi="Calibri" w:asciiTheme="minorHAnsi" w:cstheme="minorHAnsi" w:hAnsiTheme="minorHAnsi"/>
        </w:rPr>
        <w:t>5. Etappe: Anmeldung beim Netzbetreibe</w:t>
      </w:r>
      <w:bookmarkEnd w:id="28"/>
      <w:bookmarkEnd w:id="29"/>
      <w:r>
        <w:rPr>
          <w:rFonts w:cs="Calibri" w:ascii="Calibri" w:hAnsi="Calibri" w:asciiTheme="minorHAnsi" w:cstheme="minorHAnsi" w:hAnsiTheme="minorHAnsi"/>
        </w:rPr>
        <w:t>nden</w:t>
      </w:r>
    </w:p>
    <w:p>
      <w:pPr>
        <w:pStyle w:val="Textkrper"/>
        <w:rPr>
          <w:rFonts w:ascii="Calibri" w:hAnsi="Calibri" w:cs="Calibri" w:asciiTheme="minorHAnsi" w:cstheme="minorHAnsi" w:hAnsiTheme="minorHAnsi"/>
          <w:sz w:val="24"/>
          <w:szCs w:val="24"/>
        </w:rPr>
      </w:pPr>
      <w:r>
        <w:rPr>
          <w:rFonts w:cs="Calibri" w:cstheme="minorHAnsi"/>
          <w:sz w:val="24"/>
          <w:szCs w:val="24"/>
        </w:rPr>
        <w:t>„</w:t>
      </w:r>
      <w:r>
        <w:rPr>
          <w:rFonts w:cs="Calibri" w:cstheme="minorHAnsi"/>
          <w:sz w:val="24"/>
          <w:szCs w:val="24"/>
        </w:rPr>
        <w:t xml:space="preserve">Die Inbetriebsetzung einer Erzeugungsanlage ohne Zustimmung des Netzbetreibers kann die Sicherheit des Netzbetriebes und die Spannungsqualität im Netz gefährden und ist nicht zulässig.“ (aus VDE-AR-4105 Erzeugungsanlagen am Niederspannungsnetz) </w:t>
        <w:br/>
        <w:br/>
        <w:t xml:space="preserve">Alle PV-Anlagen müssen beim Netzbetreiber angemeldet und einer Netzverträglichkeitsprüfung unterzogen werden. Diese Anmeldung und technische Klärung übernimmt in der Regel der ausführende Installateur oder die Installateurin in Ihrem Auftrag. </w:t>
      </w:r>
    </w:p>
    <w:p>
      <w:pPr>
        <w:pStyle w:val="Textkrper"/>
        <w:rPr>
          <w:rFonts w:ascii="Calibri" w:hAnsi="Calibri" w:cs="Calibri" w:asciiTheme="minorHAnsi" w:cstheme="minorHAnsi" w:hAnsiTheme="minorHAnsi"/>
          <w:sz w:val="24"/>
          <w:szCs w:val="24"/>
        </w:rPr>
      </w:pPr>
      <w:r>
        <w:rPr>
          <w:rFonts w:cs="Calibri" w:cstheme="minorHAnsi"/>
          <w:sz w:val="24"/>
          <w:szCs w:val="24"/>
        </w:rPr>
        <w:t xml:space="preserve">Derzeit gibt es in den Gesetzen und technischen Regelwerken keine Bagatellgrenzen für kleine Erzeugungsanlagen. </w:t>
      </w:r>
    </w:p>
    <w:p>
      <w:pPr>
        <w:pStyle w:val="Textkrper"/>
        <w:rPr>
          <w:rFonts w:ascii="Calibri" w:hAnsi="Calibri" w:cs="Calibri" w:asciiTheme="minorHAnsi" w:cstheme="minorHAnsi" w:hAnsiTheme="minorHAnsi"/>
          <w:sz w:val="24"/>
          <w:szCs w:val="24"/>
        </w:rPr>
      </w:pPr>
      <w:r>
        <w:rPr>
          <w:rFonts w:cs="Calibri" w:cstheme="minorHAnsi"/>
          <w:sz w:val="24"/>
          <w:szCs w:val="24"/>
        </w:rPr>
        <w:t xml:space="preserve">Ihr Netzbetreibender erteilt im Anschluss an die Netzverträglichkeitsprüfung eine Einspeisezusage. Abhängig von der Lage des Netzverknüpfungspunktes und der Größe der Anlage gelten die in den technischen Regelwerken sowie den Vorgaben des Netzbetreibenden beschriebenen Netzanschlussverfahren. Informationen zu den für die Anmeldung notwendigen Unterlagen finden Sie auf der Internetseite des Netzbetreibenden. </w:t>
      </w:r>
    </w:p>
    <w:p>
      <w:pPr>
        <w:pStyle w:val="Textkrper"/>
        <w:rPr>
          <w:rFonts w:ascii="Calibri" w:hAnsi="Calibri" w:cs="Calibri" w:asciiTheme="minorHAnsi" w:cstheme="minorHAnsi" w:hAnsiTheme="minorHAnsi"/>
          <w:sz w:val="24"/>
          <w:szCs w:val="24"/>
        </w:rPr>
      </w:pPr>
      <w:r>
        <w:rPr>
          <w:rFonts w:cs="Calibri" w:cstheme="minorHAnsi"/>
          <w:sz w:val="24"/>
          <w:szCs w:val="24"/>
        </w:rPr>
        <w:t xml:space="preserve">Es ist ratsam, das Vorliegen der Einspeisezusage des Netzbetreibers für den Betrieb der PV-Anlage als Zahlungsbedingung in den Vertrag mit dem von Ihnen gewähltem Betrieb aufzunehmen. Sonst laufen Sie Gefahr, dass die Anlage errichtet und bezahlt ist, aber nicht betrieben werden kann. </w:t>
      </w:r>
    </w:p>
    <w:p>
      <w:pPr>
        <w:pStyle w:val="Berschrift31"/>
        <w:numPr>
          <w:ilvl w:val="2"/>
          <w:numId w:val="3"/>
        </w:numPr>
        <w:rPr>
          <w:rFonts w:ascii="Calibri" w:hAnsi="Calibri" w:cs="Calibri" w:asciiTheme="minorHAnsi" w:cstheme="minorHAnsi" w:hAnsiTheme="minorHAnsi"/>
          <w:sz w:val="24"/>
          <w:szCs w:val="24"/>
        </w:rPr>
      </w:pPr>
      <w:bookmarkStart w:id="30" w:name="__RefHeading___Toc35611_2500843206"/>
      <w:bookmarkStart w:id="31" w:name="_Toc76333169"/>
      <w:bookmarkStart w:id="32" w:name="_Toc73524275"/>
      <w:bookmarkEnd w:id="30"/>
      <w:r>
        <w:rPr>
          <w:rFonts w:cs="Calibri" w:ascii="Calibri" w:hAnsi="Calibri" w:asciiTheme="minorHAnsi" w:cstheme="minorHAnsi" w:hAnsiTheme="minorHAnsi"/>
        </w:rPr>
        <w:t>6. Etappe: Anmeldung bei der Bundesnetzagentur und beim Finanzamt</w:t>
      </w:r>
      <w:bookmarkEnd w:id="31"/>
      <w:bookmarkEnd w:id="32"/>
    </w:p>
    <w:p>
      <w:pPr>
        <w:pStyle w:val="Textkrper"/>
        <w:rPr>
          <w:rFonts w:ascii="Calibri" w:hAnsi="Calibri" w:cs="Calibri" w:asciiTheme="minorHAnsi" w:cstheme="minorHAnsi" w:hAnsiTheme="minorHAnsi"/>
          <w:sz w:val="24"/>
          <w:szCs w:val="24"/>
        </w:rPr>
      </w:pPr>
      <w:r>
        <w:rPr>
          <w:rFonts w:cs="Calibri" w:cstheme="minorHAnsi"/>
          <w:sz w:val="24"/>
          <w:szCs w:val="24"/>
        </w:rPr>
        <w:t xml:space="preserve">Während Sie auf die Errichtung der PV-Anlage warten, sollten Sie die geplante Anlage bei der Bundesnetzagentur etwa zwei Wochen vor dem Datum der Inbetriebnahme - spätestens mit der Inbetriebnahme der Anlage - anmelden (Seit dem 1. Januar 2009 müssen Anlagen, die Strom in das Netz einspeisen, bei der Bundesnetzagentur angemeldet werden. Nur mit Anmeldung der Anlage besteht ein Vergütungsanspruch für den eingespeisten Strom). </w:t>
      </w:r>
    </w:p>
    <w:p>
      <w:pPr>
        <w:pStyle w:val="Textkrper"/>
        <w:rPr>
          <w:rFonts w:ascii="Calibri" w:hAnsi="Calibri" w:cs="Calibri" w:asciiTheme="minorHAnsi" w:cstheme="minorHAnsi" w:hAnsiTheme="minorHAnsi"/>
        </w:rPr>
      </w:pPr>
      <w:r>
        <w:rPr>
          <w:rFonts w:cs="Calibri" w:cstheme="minorHAnsi"/>
          <w:sz w:val="24"/>
          <w:szCs w:val="24"/>
        </w:rPr>
        <w:t xml:space="preserve">Weitere Informationen der Bundesnetzagentur zur Eintragung im Marktstammdatenregister finden Sie </w:t>
      </w:r>
      <w:hyperlink r:id="rId8" w:tgtFrame="_blank">
        <w:r>
          <w:rPr>
            <w:rStyle w:val="Internetverknpfung"/>
            <w:rFonts w:cs="Calibri" w:cstheme="minorHAnsi"/>
            <w:color w:val="0000FF" w:themeColor="hyperlink"/>
            <w:sz w:val="24"/>
            <w:szCs w:val="24"/>
          </w:rPr>
          <w:t>hier</w:t>
        </w:r>
      </w:hyperlink>
      <w:r>
        <w:rPr>
          <w:rFonts w:cs="Calibri" w:cstheme="minorHAnsi"/>
          <w:sz w:val="24"/>
          <w:szCs w:val="24"/>
        </w:rPr>
        <w:t xml:space="preserve">. </w:t>
      </w:r>
    </w:p>
    <w:p>
      <w:pPr>
        <w:pStyle w:val="Textkrper"/>
        <w:rPr>
          <w:rFonts w:ascii="Calibri" w:hAnsi="Calibri" w:cs="Calibri" w:asciiTheme="minorHAnsi" w:cstheme="minorHAnsi" w:hAnsiTheme="minorHAnsi"/>
          <w:sz w:val="24"/>
          <w:szCs w:val="24"/>
        </w:rPr>
      </w:pPr>
      <w:r>
        <w:rPr>
          <w:rFonts w:cs="Calibri" w:cstheme="minorHAnsi"/>
          <w:sz w:val="24"/>
          <w:szCs w:val="24"/>
        </w:rPr>
        <w:t xml:space="preserve">Sie können eine PV-Anlage privat oder gewerblich betreiben. Der Vorteil des gewerblichen Betriebs ist die Rückerstattungsmöglichkeit der Umsatzsteuer bei der Anschaffung. Voraussetzung dafür ist die Beantragung einer eigenen Steuernummer („Stromerzeugung als unternehmerische Tätigkeit im Sinne des Umsatzsteuergesetzes“) bei Ihrem örtlichen Finanzamt. Sie müssen dann allerdings in den folgenden 20 Jahren die mit der EEG-Einspeisevergütung ausgezahlte Mehrwertsteuer auch an das Finanzamt abführen. Genauere Auskünfte gibt das örtliche Finanzamt oder Ihr:e Steuerberater:in. </w:t>
      </w:r>
    </w:p>
    <w:p>
      <w:pPr>
        <w:pStyle w:val="Berschrift31"/>
        <w:numPr>
          <w:ilvl w:val="2"/>
          <w:numId w:val="3"/>
        </w:numPr>
        <w:rPr>
          <w:rFonts w:ascii="Calibri" w:hAnsi="Calibri" w:cs="Calibri" w:asciiTheme="minorHAnsi" w:cstheme="minorHAnsi" w:hAnsiTheme="minorHAnsi"/>
          <w:sz w:val="24"/>
          <w:szCs w:val="24"/>
        </w:rPr>
      </w:pPr>
      <w:bookmarkStart w:id="33" w:name="__RefHeading___Toc35613_2500843206"/>
      <w:bookmarkStart w:id="34" w:name="_Toc76333170"/>
      <w:bookmarkStart w:id="35" w:name="_Toc73524276"/>
      <w:bookmarkEnd w:id="33"/>
      <w:r>
        <w:rPr>
          <w:rFonts w:cs="Calibri" w:ascii="Calibri" w:hAnsi="Calibri" w:asciiTheme="minorHAnsi" w:cstheme="minorHAnsi" w:hAnsiTheme="minorHAnsi"/>
        </w:rPr>
        <w:t>7. Etappe: Inbetriebnahme der Anlage</w:t>
      </w:r>
      <w:bookmarkEnd w:id="34"/>
      <w:bookmarkEnd w:id="35"/>
    </w:p>
    <w:p>
      <w:pPr>
        <w:pStyle w:val="Textkrper"/>
        <w:rPr>
          <w:rFonts w:ascii="Calibri" w:hAnsi="Calibri" w:cs="Calibri" w:asciiTheme="minorHAnsi" w:cstheme="minorHAnsi" w:hAnsiTheme="minorHAnsi"/>
          <w:sz w:val="24"/>
          <w:szCs w:val="24"/>
        </w:rPr>
      </w:pPr>
      <w:r>
        <w:rPr>
          <w:rFonts w:cs="Calibri" w:cstheme="minorHAnsi"/>
          <w:sz w:val="24"/>
          <w:szCs w:val="24"/>
        </w:rPr>
        <w:t xml:space="preserve">Die Inbetriebsetzung nimmt der Anlagenerrichter – die von Ihnen beauftragte Firma – vor. Netz- und Anlagenbetreibende stimmen ab, ob hierzu die Anwesenheit des Netzbetreibenden erforderlich ist. Über die Inbetriebsetzung ist durch den Anlagen-Errichter ein Inbetriebsetzungsprotokoll anzufertigen. </w:t>
      </w:r>
    </w:p>
    <w:p>
      <w:pPr>
        <w:pStyle w:val="Textkrper"/>
        <w:rPr>
          <w:rFonts w:ascii="Calibri" w:hAnsi="Calibri" w:cs="Calibri" w:asciiTheme="minorHAnsi" w:cstheme="minorHAnsi" w:hAnsiTheme="minorHAnsi"/>
          <w:sz w:val="24"/>
          <w:szCs w:val="24"/>
        </w:rPr>
      </w:pPr>
      <w:r>
        <w:rPr>
          <w:rFonts w:cs="Calibri" w:cstheme="minorHAnsi"/>
          <w:sz w:val="24"/>
          <w:szCs w:val="24"/>
        </w:rPr>
        <w:t xml:space="preserve">Sollte Ihr Netzbetreiber bei der Inbetriebnahme nicht anwesend sein, lassen Sie ihm unbedingt ein Duplikat des Inbetriebsetzungsprotokolls zukommen. </w:t>
      </w:r>
    </w:p>
    <w:p>
      <w:pPr>
        <w:pStyle w:val="Textkrper"/>
        <w:rPr>
          <w:rFonts w:ascii="Calibri" w:hAnsi="Calibri" w:cs="Calibri" w:asciiTheme="minorHAnsi" w:cstheme="minorHAnsi" w:hAnsiTheme="minorHAnsi"/>
          <w:sz w:val="24"/>
          <w:szCs w:val="24"/>
        </w:rPr>
      </w:pPr>
      <w:r>
        <w:rPr>
          <w:rFonts w:cs="Calibri" w:cstheme="minorHAnsi"/>
          <w:sz w:val="24"/>
          <w:szCs w:val="24"/>
        </w:rPr>
        <w:t xml:space="preserve">Solarthermische Anlagen können ohne weitere Beteiligte direkt durch den Installateur in Betrieb genommen werden. </w:t>
      </w:r>
    </w:p>
    <w:p>
      <w:pPr>
        <w:pStyle w:val="Berschrift31"/>
        <w:numPr>
          <w:ilvl w:val="2"/>
          <w:numId w:val="3"/>
        </w:numPr>
        <w:rPr>
          <w:rFonts w:ascii="Calibri" w:hAnsi="Calibri" w:cs="Calibri" w:asciiTheme="minorHAnsi" w:cstheme="minorHAnsi" w:hAnsiTheme="minorHAnsi"/>
          <w:sz w:val="24"/>
          <w:szCs w:val="24"/>
        </w:rPr>
      </w:pPr>
      <w:bookmarkStart w:id="36" w:name="__RefHeading___Toc35615_2500843206"/>
      <w:bookmarkStart w:id="37" w:name="_Toc76333171"/>
      <w:bookmarkStart w:id="38" w:name="_Toc73524277"/>
      <w:bookmarkEnd w:id="36"/>
      <w:r>
        <w:rPr>
          <w:rFonts w:cs="Calibri" w:ascii="Calibri" w:hAnsi="Calibri" w:asciiTheme="minorHAnsi" w:cstheme="minorHAnsi" w:hAnsiTheme="minorHAnsi"/>
        </w:rPr>
        <w:t>8. Etappe: Vergütung und Versicherung</w:t>
      </w:r>
      <w:bookmarkEnd w:id="37"/>
      <w:bookmarkEnd w:id="38"/>
    </w:p>
    <w:p>
      <w:pPr>
        <w:pStyle w:val="Textkrper"/>
        <w:rPr>
          <w:rFonts w:ascii="Calibri" w:hAnsi="Calibri" w:cs="Calibri" w:asciiTheme="minorHAnsi" w:cstheme="minorHAnsi" w:hAnsiTheme="minorHAnsi"/>
          <w:sz w:val="24"/>
          <w:szCs w:val="24"/>
        </w:rPr>
      </w:pPr>
      <w:r>
        <w:rPr>
          <w:rFonts w:cs="Calibri" w:cstheme="minorHAnsi"/>
          <w:sz w:val="24"/>
          <w:szCs w:val="24"/>
        </w:rPr>
        <w:t xml:space="preserve">Der Netzbetreiber schließt mit Ihnen abschließend einen Vertrag, in dem die Vergütung nach dem Erneuerbaren-Energien-Gesetz (EEG) geregelt ist. Informieren Sie bei gewerblichem Betrieb auch Ihre:n Steuerberater:in, damit die Photovoltaikanlage in der nächsten Steuererklärung berücksichtigt wird. </w:t>
      </w:r>
    </w:p>
    <w:p>
      <w:pPr>
        <w:pStyle w:val="Textkrper"/>
        <w:rPr>
          <w:rFonts w:ascii="Calibri" w:hAnsi="Calibri" w:cs="Calibri" w:asciiTheme="minorHAnsi" w:cstheme="minorHAnsi" w:hAnsiTheme="minorHAnsi"/>
          <w:sz w:val="24"/>
          <w:szCs w:val="24"/>
        </w:rPr>
      </w:pPr>
      <w:r>
        <w:rPr>
          <w:rFonts w:cs="Calibri" w:cstheme="minorHAnsi"/>
          <w:sz w:val="24"/>
          <w:szCs w:val="24"/>
        </w:rPr>
        <w:t xml:space="preserve">Als letzten, aber sehr wichtigen Schritt, sollten Sie mit Ihrem oder Ihrer Versicherungsvertreter:in sprechen und die Anlage melden, damit Sie beispielsweise bei Sturmschäden abgesichert sind! </w:t>
      </w:r>
    </w:p>
    <w:p>
      <w:pPr>
        <w:pStyle w:val="Berschrift31"/>
        <w:numPr>
          <w:ilvl w:val="2"/>
          <w:numId w:val="3"/>
        </w:numPr>
        <w:rPr>
          <w:rFonts w:ascii="Calibri" w:hAnsi="Calibri" w:cs="Calibri" w:asciiTheme="minorHAnsi" w:cstheme="minorHAnsi" w:hAnsiTheme="minorHAnsi"/>
        </w:rPr>
      </w:pPr>
      <w:bookmarkStart w:id="39" w:name="__RefHeading___Toc35617_2500843206"/>
      <w:bookmarkStart w:id="40" w:name="_Toc76333172"/>
      <w:bookmarkEnd w:id="39"/>
      <w:r>
        <w:rPr>
          <w:rFonts w:cs="Calibri" w:ascii="Calibri" w:hAnsi="Calibri" w:asciiTheme="minorHAnsi" w:cstheme="minorHAnsi" w:hAnsiTheme="minorHAnsi"/>
        </w:rPr>
        <w:t>9. Etappe: Betrieb</w:t>
      </w:r>
      <w:bookmarkEnd w:id="40"/>
    </w:p>
    <w:p>
      <w:pPr>
        <w:pStyle w:val="Textkrper"/>
        <w:numPr>
          <w:ilvl w:val="2"/>
          <w:numId w:val="3"/>
        </w:numPr>
        <w:rPr>
          <w:rFonts w:ascii="Calibri" w:hAnsi="Calibri" w:cs="Calibri" w:asciiTheme="minorHAnsi" w:cstheme="minorHAnsi" w:hAnsiTheme="minorHAnsi"/>
          <w:sz w:val="24"/>
          <w:szCs w:val="24"/>
        </w:rPr>
      </w:pPr>
      <w:r>
        <w:rPr>
          <w:rFonts w:cs="Calibri" w:cstheme="minorHAnsi"/>
          <w:sz w:val="24"/>
          <w:szCs w:val="24"/>
        </w:rPr>
        <w:t xml:space="preserve">Je nach Anlage erhalten Sie Informationen über den erzeugten – und ggf. verbrauchten – Strom über eine App und können die Daten dann mit dem Smartphone oder Computer abrufen. </w:t>
      </w:r>
    </w:p>
    <w:p>
      <w:pPr>
        <w:pStyle w:val="Textkrper"/>
        <w:numPr>
          <w:ilvl w:val="2"/>
          <w:numId w:val="3"/>
        </w:numPr>
        <w:rPr>
          <w:rFonts w:ascii="Calibri" w:hAnsi="Calibri" w:cs="Calibri" w:asciiTheme="minorHAnsi" w:cstheme="minorHAnsi" w:hAnsiTheme="minorHAnsi"/>
          <w:sz w:val="24"/>
          <w:szCs w:val="24"/>
        </w:rPr>
      </w:pPr>
      <w:r>
        <w:rPr>
          <w:rFonts w:cs="Calibri" w:cstheme="minorHAnsi"/>
          <w:sz w:val="24"/>
          <w:szCs w:val="24"/>
        </w:rPr>
        <w:t xml:space="preserve">Bei einer Mini-PV-Anlage gibt es nur eine Kontrollleuchte (leuchtet = liefert Strom) am  Wechselrichter; hier kann man einen kleinen Stromzähler zwischenschalten, um die Stromausbeute zu sehen und die Funktion zu testen. </w:t>
      </w:r>
    </w:p>
    <w:p>
      <w:pPr>
        <w:pStyle w:val="Textkrper"/>
        <w:numPr>
          <w:ilvl w:val="2"/>
          <w:numId w:val="3"/>
        </w:numPr>
        <w:rPr>
          <w:rFonts w:ascii="Calibri" w:hAnsi="Calibri" w:cs="Calibri" w:asciiTheme="minorHAnsi" w:cstheme="minorHAnsi" w:hAnsiTheme="minorHAnsi"/>
          <w:sz w:val="24"/>
          <w:szCs w:val="24"/>
        </w:rPr>
      </w:pPr>
      <w:r>
        <w:rPr>
          <w:rFonts w:cs="Calibri" w:cstheme="minorHAnsi"/>
          <w:sz w:val="24"/>
          <w:szCs w:val="24"/>
        </w:rPr>
        <w:t xml:space="preserve">Es ist ratsam, größere Anlagen von einer Fachfirma in 5-Jahresintervallen überprüfen zu lassen und, ggf. auch reinigen zu lassen. </w:t>
      </w:r>
    </w:p>
    <w:p>
      <w:pPr>
        <w:pStyle w:val="Berschrift31"/>
        <w:numPr>
          <w:ilvl w:val="2"/>
          <w:numId w:val="3"/>
        </w:numPr>
        <w:rPr>
          <w:rFonts w:ascii="Calibri" w:hAnsi="Calibri" w:cs="Calibri" w:asciiTheme="minorHAnsi" w:cstheme="minorHAnsi" w:hAnsiTheme="minorHAnsi"/>
        </w:rPr>
      </w:pPr>
      <w:bookmarkStart w:id="41" w:name="__RefHeading___Toc35619_2500843206"/>
      <w:bookmarkStart w:id="42" w:name="_Toc73524278"/>
      <w:bookmarkStart w:id="43" w:name="_Toc76333173"/>
      <w:bookmarkEnd w:id="41"/>
      <w:r>
        <w:rPr>
          <w:rFonts w:cs="Calibri" w:ascii="Calibri" w:hAnsi="Calibri" w:asciiTheme="minorHAnsi" w:cstheme="minorHAnsi" w:hAnsiTheme="minorHAnsi"/>
        </w:rPr>
        <w:t>10. Etappe: Erneuerung/Betriebseinstellung/Entsorgung</w:t>
      </w:r>
      <w:bookmarkEnd w:id="42"/>
      <w:bookmarkEnd w:id="43"/>
    </w:p>
    <w:p>
      <w:pPr>
        <w:pStyle w:val="Textkrper"/>
        <w:rPr/>
      </w:pPr>
      <w:r>
        <w:rPr>
          <w:rFonts w:cs="Calibri" w:cstheme="minorHAnsi"/>
          <w:sz w:val="24"/>
          <w:szCs w:val="24"/>
        </w:rPr>
        <w:t xml:space="preserve">Nichts ist für ewig gebaut. Solaranlagen halten üblicherweise 20 bis 30 Jahre. Danach stellt sich die Frage der Erneuerung und Entsorgung und Betriebsumstellung oder -einstellung. Wird die Anlage erneuert, bekommen Sie in der Regel ein Angebot für Abbau und Entsorgung vom Unternehmen, das die neue Anlage verkauft. </w:t>
        <w:br/>
        <w:t xml:space="preserve">Auch hier sind wieder Etappen wichtig, für die wir allerdings einstweilen keine besonderen Tipps und Hinweise geben können. </w:t>
      </w:r>
    </w:p>
    <w:p>
      <w:pPr>
        <w:pStyle w:val="Berschrift21"/>
        <w:numPr>
          <w:ilvl w:val="1"/>
          <w:numId w:val="3"/>
        </w:numPr>
        <w:rPr>
          <w:rFonts w:ascii="Calibri" w:hAnsi="Calibri" w:cs="Calibri" w:asciiTheme="minorHAnsi" w:cstheme="minorHAnsi" w:hAnsiTheme="minorHAnsi"/>
          <w:sz w:val="28"/>
          <w:szCs w:val="28"/>
        </w:rPr>
      </w:pPr>
      <w:r>
        <w:rPr>
          <w:rFonts w:cs="Calibri" w:cstheme="minorHAnsi" w:ascii="Calibri" w:hAnsi="Calibri"/>
          <w:sz w:val="28"/>
          <w:szCs w:val="28"/>
        </w:rPr>
      </w:r>
    </w:p>
    <w:p>
      <w:pPr>
        <w:pStyle w:val="Berschrift11"/>
        <w:numPr>
          <w:ilvl w:val="0"/>
          <w:numId w:val="2"/>
        </w:numPr>
        <w:rPr>
          <w:rFonts w:ascii="Calibri" w:hAnsi="Calibri" w:cs="Calibri" w:asciiTheme="minorHAnsi" w:cstheme="minorHAnsi" w:hAnsiTheme="minorHAnsi"/>
          <w:sz w:val="28"/>
          <w:szCs w:val="28"/>
        </w:rPr>
      </w:pPr>
      <w:bookmarkStart w:id="44" w:name="__RefHeading___Toc35621_2500843206"/>
      <w:bookmarkStart w:id="45" w:name="_Toc76333174"/>
      <w:bookmarkStart w:id="46" w:name="_Toc73524279"/>
      <w:bookmarkEnd w:id="44"/>
      <w:r>
        <w:rPr/>
        <w:t>Für Mieter:innen</w:t>
      </w:r>
      <w:bookmarkEnd w:id="46"/>
      <w:r>
        <w:rPr/>
        <w:t xml:space="preserve"> und Wohneigentümergemeinschaften</w:t>
      </w:r>
      <w:bookmarkEnd w:id="45"/>
    </w:p>
    <w:p>
      <w:pPr>
        <w:pStyle w:val="Normal"/>
        <w:rPr>
          <w:rFonts w:ascii="Calibri" w:hAnsi="Calibri" w:cs="Calibri" w:asciiTheme="minorHAnsi" w:cstheme="minorHAnsi" w:hAnsiTheme="minorHAnsi"/>
        </w:rPr>
      </w:pPr>
      <w:r>
        <w:rPr>
          <w:rFonts w:cs="Calibri" w:cstheme="minorHAnsi"/>
          <w:sz w:val="24"/>
          <w:szCs w:val="24"/>
        </w:rPr>
        <w:t xml:space="preserve">Auch als Mieter:in können Sie das Solarpotenzial nutzen. </w:t>
      </w:r>
    </w:p>
    <w:p>
      <w:pPr>
        <w:pStyle w:val="Normal"/>
        <w:rPr>
          <w:rFonts w:ascii="Calibri" w:hAnsi="Calibri" w:cs="Calibri" w:asciiTheme="minorHAnsi" w:cstheme="minorHAnsi" w:hAnsiTheme="minorHAnsi"/>
        </w:rPr>
      </w:pPr>
      <w:r>
        <w:rPr>
          <w:rFonts w:cs="Calibri" w:cstheme="minorHAnsi"/>
          <w:sz w:val="24"/>
          <w:szCs w:val="24"/>
        </w:rPr>
        <w:t>Mini-PV Module, auch Balkonkraftwerke genannt, sind kleine Solarmodule. Diese können in den Garten gestellt, an die Fassade oder auf das Dach montiert werden und sogar am Balkon hängen. Die Module sind etwa 1 x 2 Meter groß und wiegen um die 20 Kilogramm. Ein Wechselrichter wird mitgeliefert, das Kabel von diesem wird einfach in eine normale Haushaltssteckdose gesteckt (empfohlen werden allerdings meist Spezialsteckdosen). Kosten für ein Komplett-Modul mit 300 Watt ca. 450 Euro.</w:t>
      </w:r>
    </w:p>
    <w:p>
      <w:pPr>
        <w:pStyle w:val="Normal"/>
        <w:rPr>
          <w:rFonts w:ascii="Calibri" w:hAnsi="Calibri" w:cs="Calibri" w:asciiTheme="minorHAnsi" w:cstheme="minorHAnsi" w:hAnsiTheme="minorHAnsi"/>
        </w:rPr>
      </w:pPr>
      <w:r>
        <w:rPr>
          <w:rFonts w:cs="Calibri" w:cstheme="minorHAnsi"/>
          <w:sz w:val="24"/>
          <w:szCs w:val="24"/>
        </w:rPr>
        <w:t>Bis zu 600 Watt (zwei Module) dürfen in einem Haushalt angeschlossen werden. Dieser Strom fließt ins Hausstromnetz und steht zum Verbrauch zur Verfügung. 600 Watt reichen um zum Beispiel die Spülmaschine komplett kostenlos, die Waschmaschine zum Teil kostenfrei laufen zu lassen.</w:t>
      </w:r>
    </w:p>
    <w:p>
      <w:pPr>
        <w:pStyle w:val="Normal"/>
        <w:rPr>
          <w:rFonts w:ascii="Calibri" w:hAnsi="Calibri" w:cs="Calibri" w:asciiTheme="minorHAnsi" w:cstheme="minorHAnsi" w:hAnsiTheme="minorHAnsi"/>
        </w:rPr>
      </w:pPr>
      <w:r>
        <w:rPr>
          <w:rFonts w:cs="Calibri" w:cstheme="minorHAnsi"/>
          <w:sz w:val="24"/>
          <w:szCs w:val="24"/>
        </w:rPr>
        <w:t xml:space="preserve">Anderes Beispiel: Mit einem 300 Watt-Modul lässt sich der Akku eines E-Bike oder Pedelec (90 Watt Verbrauch) und gleichzeitig das Notebook (90 Watt Verbrauch) laden und nebenbei noch Musik hören und Kaffeekochen – kostenlos. Strom, der erzeugt, aber nicht verbraucht wird, wird ohne Vergütung ins öffentliche Netz eingespeist. </w:t>
      </w:r>
    </w:p>
    <w:p>
      <w:pPr>
        <w:pStyle w:val="Normal"/>
        <w:rPr>
          <w:rFonts w:ascii="Calibri" w:hAnsi="Calibri" w:cs="Calibri" w:asciiTheme="minorHAnsi" w:cstheme="minorHAnsi" w:hAnsiTheme="minorHAnsi"/>
        </w:rPr>
      </w:pPr>
      <w:r>
        <w:rPr>
          <w:rFonts w:cs="Calibri" w:cstheme="minorHAnsi"/>
          <w:sz w:val="24"/>
          <w:szCs w:val="24"/>
        </w:rPr>
        <w:t>Die Installation einer solchen Anlage muss man vorab mit dem oder der Vermieter:in abstimmen.</w:t>
      </w:r>
    </w:p>
    <w:p>
      <w:pPr>
        <w:pStyle w:val="Normal"/>
        <w:rPr>
          <w:rFonts w:ascii="Calibri" w:hAnsi="Calibri" w:cs="Calibri" w:asciiTheme="minorHAnsi" w:cstheme="minorHAnsi" w:hAnsiTheme="minorHAnsi"/>
        </w:rPr>
      </w:pPr>
      <w:r>
        <w:rPr>
          <w:rFonts w:cs="Calibri" w:cstheme="minorHAnsi"/>
          <w:sz w:val="24"/>
          <w:szCs w:val="24"/>
        </w:rPr>
        <w:t>Sie können auch anregen, dass sich Ihr*e Vermieter*in für eine Installation für das gesamte Objekt entscheidet. Siehe dazu den folgenden Abschnitt.</w:t>
      </w:r>
    </w:p>
    <w:p>
      <w:pPr>
        <w:pStyle w:val="Normal"/>
        <w:rPr>
          <w:rFonts w:ascii="Calibri" w:hAnsi="Calibri" w:cs="Calibri" w:asciiTheme="minorHAnsi" w:cstheme="minorHAnsi" w:hAnsiTheme="minorHAnsi"/>
        </w:rPr>
      </w:pPr>
      <w:r>
        <w:rPr>
          <w:rFonts w:cs="Calibri" w:cstheme="minorHAnsi"/>
          <w:sz w:val="24"/>
          <w:szCs w:val="24"/>
        </w:rPr>
        <w:t>Entsprechendes gilt für Wohneigentümergemeinschaften.</w:t>
      </w:r>
    </w:p>
    <w:p>
      <w:pPr>
        <w:pStyle w:val="Berschrift11"/>
        <w:numPr>
          <w:ilvl w:val="0"/>
          <w:numId w:val="2"/>
        </w:numPr>
        <w:rPr>
          <w:rFonts w:ascii="Calibri" w:hAnsi="Calibri" w:cs="Calibri" w:asciiTheme="minorHAnsi" w:cstheme="minorHAnsi" w:hAnsiTheme="minorHAnsi"/>
        </w:rPr>
      </w:pPr>
      <w:bookmarkStart w:id="47" w:name="__RefHeading___Toc35623_2500843206"/>
      <w:bookmarkStart w:id="48" w:name="_Toc76333175"/>
      <w:bookmarkEnd w:id="47"/>
      <w:r>
        <w:rPr/>
        <w:t>Für Vermieter:innen</w:t>
      </w:r>
      <w:bookmarkEnd w:id="48"/>
    </w:p>
    <w:p>
      <w:pPr>
        <w:sectPr>
          <w:headerReference w:type="default" r:id="rId10"/>
          <w:headerReference w:type="first" r:id="rId11"/>
          <w:footerReference w:type="default" r:id="rId12"/>
          <w:type w:val="nextPage"/>
          <w:pgSz w:w="11906" w:h="16838"/>
          <w:pgMar w:left="1417" w:right="1417" w:header="0" w:top="1417" w:footer="0" w:bottom="1134" w:gutter="0"/>
          <w:pgNumType w:fmt="decimal"/>
          <w:formProt w:val="false"/>
          <w:titlePg/>
          <w:textDirection w:val="lrTb"/>
          <w:docGrid w:type="default" w:linePitch="360" w:charSpace="4096"/>
        </w:sectPr>
        <w:pStyle w:val="Normal"/>
        <w:rPr>
          <w:rFonts w:ascii="Calibri" w:hAnsi="Calibri" w:cs="Calibri" w:asciiTheme="minorHAnsi" w:cstheme="minorHAnsi" w:hAnsiTheme="minorHAnsi"/>
        </w:rPr>
      </w:pPr>
      <w:r>
        <w:rPr>
          <w:rFonts w:cs="Calibri" w:cstheme="minorHAnsi"/>
          <w:sz w:val="24"/>
          <w:szCs w:val="24"/>
        </w:rPr>
        <w:t xml:space="preserve">Vermieter:innen können das sogenannte Modell des Mieterstroms nach dem EEG nutzen. Hierzu informiert zum Beispiel die </w:t>
      </w:r>
      <w:hyperlink r:id="rId9">
        <w:r>
          <w:rPr>
            <w:rStyle w:val="Internetverknpfung"/>
            <w:rFonts w:cs="Calibri" w:cstheme="minorHAnsi"/>
            <w:color w:val="0000FF" w:themeColor="hyperlink"/>
            <w:sz w:val="24"/>
            <w:szCs w:val="24"/>
          </w:rPr>
          <w:t>Bundesnetzagentur</w:t>
        </w:r>
      </w:hyperlink>
      <w:r>
        <w:rPr>
          <w:rFonts w:cs="Calibri" w:cstheme="minorHAnsi"/>
          <w:sz w:val="24"/>
          <w:szCs w:val="24"/>
        </w:rPr>
        <w:t>.</w:t>
      </w:r>
    </w:p>
    <w:p>
      <w:pPr>
        <w:pStyle w:val="Berschrift11"/>
        <w:numPr>
          <w:ilvl w:val="0"/>
          <w:numId w:val="2"/>
        </w:numPr>
        <w:rPr/>
      </w:pPr>
      <w:bookmarkStart w:id="49" w:name="__RefHeading___Toc43599_2500843206"/>
      <w:bookmarkEnd w:id="49"/>
      <w:r>
        <w:rPr/>
        <w:t>Anhang</w:t>
      </w:r>
    </w:p>
    <w:p>
      <w:pPr>
        <w:pStyle w:val="Berschrift21"/>
        <w:numPr>
          <w:ilvl w:val="1"/>
          <w:numId w:val="1"/>
        </w:numPr>
        <w:rPr/>
      </w:pPr>
      <w:bookmarkStart w:id="50" w:name="__RefHeading___Toc2856_4199822208"/>
      <w:bookmarkEnd w:id="50"/>
      <w:r>
        <w:rPr/>
        <w:t>Nützliche Links</w:t>
      </w:r>
    </w:p>
    <w:p>
      <w:pPr>
        <w:pStyle w:val="Textkrper"/>
        <w:rPr/>
      </w:pPr>
      <w:r>
        <w:rPr/>
        <w:t>(Zum Öffnen den Link per Rechtsklick auf den Text in der Spalte „Linkadresse“ anklicken → Hyperlink öffnen)</w:t>
      </w:r>
    </w:p>
    <w:tbl>
      <w:tblPr>
        <w:tblW w:w="14620" w:type="dxa"/>
        <w:jc w:val="left"/>
        <w:tblInd w:w="0" w:type="dxa"/>
        <w:tblCellMar>
          <w:top w:w="0" w:type="dxa"/>
          <w:left w:w="65" w:type="dxa"/>
          <w:bottom w:w="0" w:type="dxa"/>
          <w:right w:w="70" w:type="dxa"/>
        </w:tblCellMar>
        <w:tblLook w:firstRow="1" w:noVBand="1" w:lastRow="0" w:firstColumn="1" w:lastColumn="0" w:noHBand="0" w:val="04a0"/>
      </w:tblPr>
      <w:tblGrid>
        <w:gridCol w:w="2381"/>
        <w:gridCol w:w="2250"/>
        <w:gridCol w:w="5655"/>
        <w:gridCol w:w="4333"/>
      </w:tblGrid>
      <w:tr>
        <w:trPr>
          <w:tblHeader w:val="true"/>
          <w:trHeight w:val="315" w:hRule="atLeast"/>
        </w:trPr>
        <w:tc>
          <w:tcPr>
            <w:tcW w:w="23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4"/>
                <w:szCs w:val="24"/>
                <w:lang w:eastAsia="de-DE"/>
              </w:rPr>
            </w:pPr>
            <w:r>
              <w:rPr>
                <w:rFonts w:eastAsia="Times New Roman" w:cs="Arial" w:ascii="Arial" w:hAnsi="Arial"/>
                <w:b/>
                <w:bCs/>
                <w:sz w:val="24"/>
                <w:szCs w:val="24"/>
                <w:lang w:eastAsia="de-DE"/>
              </w:rPr>
              <w:t>Projektetappe</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4"/>
                <w:szCs w:val="24"/>
                <w:lang w:eastAsia="de-DE"/>
              </w:rPr>
            </w:pPr>
            <w:r>
              <w:rPr>
                <w:rFonts w:eastAsia="Times New Roman" w:cs="Arial" w:ascii="Arial" w:hAnsi="Arial"/>
                <w:b/>
                <w:bCs/>
                <w:sz w:val="24"/>
                <w:szCs w:val="24"/>
                <w:lang w:eastAsia="de-DE"/>
              </w:rPr>
              <w:t>Kategorie</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4"/>
                <w:szCs w:val="24"/>
                <w:lang w:eastAsia="de-DE"/>
              </w:rPr>
            </w:pPr>
            <w:bookmarkStart w:id="51" w:name="Links"/>
            <w:bookmarkEnd w:id="51"/>
            <w:r>
              <w:rPr>
                <w:rFonts w:eastAsia="Times New Roman" w:cs="Arial" w:ascii="Arial" w:hAnsi="Arial"/>
                <w:b/>
                <w:bCs/>
                <w:sz w:val="24"/>
                <w:szCs w:val="24"/>
                <w:lang w:eastAsia="de-DE"/>
              </w:rPr>
              <w:t>Linkadresse</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4"/>
                <w:szCs w:val="24"/>
                <w:lang w:eastAsia="de-DE"/>
              </w:rPr>
            </w:pPr>
            <w:r>
              <w:rPr>
                <w:rFonts w:eastAsia="Times New Roman" w:cs="Arial" w:ascii="Arial" w:hAnsi="Arial"/>
                <w:b/>
                <w:bCs/>
                <w:sz w:val="24"/>
                <w:szCs w:val="24"/>
                <w:lang w:eastAsia="de-DE"/>
              </w:rPr>
              <w:t>Bemerkung</w:t>
            </w:r>
          </w:p>
        </w:tc>
      </w:tr>
      <w:tr>
        <w:trPr>
          <w:trHeight w:val="510" w:hRule="atLeast"/>
        </w:trPr>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Ein Blick in das Solarkataster</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Wirtschaftlichkeits-hinweise</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13">
              <w:r>
                <w:rPr/>
                <w:t>Solarpotenzialkataster</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Hier können Sie interaktiv das Potenzial Ihres Daches erfahren – eine Grobprüfung</w:t>
            </w:r>
          </w:p>
        </w:tc>
      </w:tr>
      <w:tr>
        <w:trPr>
          <w:trHeight w:val="510"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Online Ratgeber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14" w:tgtFrame="_parent">
              <w:r>
                <w:rPr/>
                <w:t>Was-bei-der-Planung-einer-Solaranlage-wichtig-ist</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Verbraucherzentrale</w:t>
            </w:r>
          </w:p>
        </w:tc>
      </w:tr>
      <w:tr>
        <w:trPr>
          <w:trHeight w:val="510" w:hRule="atLeast"/>
        </w:trPr>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Beratung vor Ort</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Expertensuche / Energieberatung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15" w:tgtFrame="_parent">
              <w:r>
                <w:rPr/>
                <w:t>Eignungscheck-Solar</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Die ersten 50 Beratungen eines Jahres sind in MSP für den Bürger sogar kostenlos</w:t>
            </w:r>
          </w:p>
        </w:tc>
      </w:tr>
      <w:tr>
        <w:trPr>
          <w:trHeight w:val="584"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Expertensuche / Energieberatung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16" w:tgtFrame="_parent">
              <w:r>
                <w:rPr/>
                <w:t>Energie-Effizienz-Experten</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510"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Expertensuche / Energieberatung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17" w:tgtFrame="_parent">
              <w:r>
                <w:rPr/>
                <w:t>Energiekarawane-gegen-den-Sanierungsstau</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Energiekarawane (Beispiel Beratungsprojekt)</w:t>
            </w:r>
          </w:p>
        </w:tc>
      </w:tr>
      <w:tr>
        <w:trPr>
          <w:trHeight w:val="510"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Expertensuche / Energieberatung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Beratung-bei-ihnen/Eignungscheck-Solar</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Eignungscheck des Daches durch Verbraucherzentrale</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Firmensuche</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18" w:tgtFrame="_parent">
              <w:r>
                <w:rPr/>
                <w:t>Energieeffizienz-Eigenstrom</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Elektroinnung Würzburg</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Preischeck</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19" w:tgtFrame="_parent">
              <w:r>
                <w:rPr/>
                <w:t>Was-kostet-eine-Photovoltaikanlage</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Preisindex der Verbraucherzentrale (2019)</w:t>
            </w:r>
          </w:p>
        </w:tc>
      </w:tr>
      <w:tr>
        <w:trPr>
          <w:trHeight w:val="510"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Dimensionierung /Varianten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20" w:tgtFrame="_parent">
              <w:r>
                <w:rPr/>
                <w:t>Siehe Produkte</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Hier müssen Sie nach individuellen Kriterien (Verbrauch, Präferenzen, etc.) entscheiden.</w:t>
            </w:r>
          </w:p>
        </w:tc>
      </w:tr>
      <w:tr>
        <w:trPr>
          <w:trHeight w:val="255" w:hRule="atLeast"/>
        </w:trPr>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Finanzierung sichern</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Förderung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21" w:tgtFrame="_parent">
              <w:r>
                <w:rPr/>
                <w:t>Förderkompass</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Förderung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10000_Häuser_Programm</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Förderung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KFW</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KfW</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Förderung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Förderbank</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Bundeswirtschaftsministerium</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Banken/Finanzierung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22" w:tgtFrame="_parent">
              <w:r>
                <w:rPr/>
                <w:t>Kredite-und-Darlehen-auch-beim-Geldleihen-lässt-sich-sparen</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Verbraucherzentrale</w:t>
            </w:r>
          </w:p>
        </w:tc>
      </w:tr>
      <w:tr>
        <w:trPr>
          <w:trHeight w:val="1140" w:hRule="atLeast"/>
        </w:trPr>
        <w:tc>
          <w:tcPr>
            <w:tcW w:w="23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Auftrag vergeben</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Online Ratgeber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23" w:tgtFrame="_parent">
              <w:r>
                <w:rPr/>
                <w:t>Was-bei-der-Planung-einer-Solaranlage-wichtig-ist</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xml:space="preserve">Verbraucherzentrale; </w:t>
            </w:r>
            <w:r>
              <w:rPr>
                <w:rFonts w:eastAsia="Times New Roman" w:cs="Arial" w:ascii="Arial" w:hAnsi="Arial"/>
                <w:b/>
                <w:bCs/>
                <w:sz w:val="20"/>
                <w:szCs w:val="20"/>
                <w:lang w:eastAsia="de-DE"/>
              </w:rPr>
              <w:t>wichtig: Förderanträge V O R  Auftragsvergabe</w:t>
            </w:r>
          </w:p>
        </w:tc>
      </w:tr>
      <w:tr>
        <w:trPr>
          <w:trHeight w:val="555" w:hRule="atLeast"/>
        </w:trPr>
        <w:tc>
          <w:tcPr>
            <w:tcW w:w="23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Anmeldung beim Netzbetreiber</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Formalitäten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24" w:tgtFrame="_parent">
              <w:r>
                <w:rPr/>
                <w:t>EVG Gemünden</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Zuständiger Netzbetreiber für Gemünden</w:t>
            </w:r>
          </w:p>
        </w:tc>
      </w:tr>
      <w:tr>
        <w:trPr>
          <w:trHeight w:val="255" w:hRule="atLeast"/>
        </w:trPr>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Anmeldung bei der Bundesnetzagentur</w:t>
              <w:br/>
              <w:t>(nur PV) und beim Finanzamt</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Formalitäten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Bundesnetzagentur</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Anmeldung notwendig</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Formalitäten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Meldung Photovoltaikanlage</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Anmeldung notwendig</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Steuer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rFonts w:eastAsia="Times New Roman" w:cs="Arial" w:ascii="Arial" w:hAnsi="Arial"/>
                <w:color w:val="0563C1"/>
                <w:sz w:val="20"/>
                <w:szCs w:val="20"/>
                <w:u w:val="single"/>
                <w:lang w:eastAsia="de-DE"/>
              </w:rPr>
              <w:t>Steuerformulare</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Steuerformulare – generell</w:t>
            </w:r>
          </w:p>
        </w:tc>
      </w:tr>
      <w:tr>
        <w:trPr>
          <w:trHeight w:val="510"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Steuer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Steuerinfos</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Fragebogen zur steuerlichen Erfassung speziell zu PV</w:t>
            </w:r>
          </w:p>
        </w:tc>
      </w:tr>
      <w:tr>
        <w:trPr>
          <w:trHeight w:val="1155" w:hRule="atLeast"/>
        </w:trPr>
        <w:tc>
          <w:tcPr>
            <w:tcW w:w="23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Inbetriebnahme</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Online Ratgeber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25" w:tgtFrame="_parent">
              <w:r>
                <w:rPr/>
                <w:t>Was-bei-der-Planung-einer-Solaranlage-wichtig-ist</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Verbraucherzentrale: Lassen Sie sich einen “Pass” für die Anlage ausstellen (Photovoltaik-Anlagenpass als auch der Speicherpass des Bundesverbandes Solarwirtschaft e.V. (BSW) )</w:t>
            </w:r>
          </w:p>
        </w:tc>
      </w:tr>
      <w:tr>
        <w:trPr>
          <w:trHeight w:val="510" w:hRule="atLeast"/>
        </w:trPr>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Vergütung und Versicherung</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Vergütung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rFonts w:eastAsia="Times New Roman" w:cs="Arial" w:ascii="Arial" w:hAnsi="Arial"/>
                <w:color w:val="0563C1"/>
                <w:sz w:val="20"/>
                <w:szCs w:val="20"/>
                <w:u w:val="single"/>
                <w:lang w:eastAsia="de-DE"/>
              </w:rPr>
              <w:t> </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Individuell zu entscheiden, welches Modell zu bevorzugen ist.</w:t>
            </w:r>
          </w:p>
        </w:tc>
      </w:tr>
      <w:tr>
        <w:trPr>
          <w:trHeight w:val="76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Online Ratgeber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26" w:tgtFrame="_parent">
              <w:r>
                <w:rPr/>
                <w:t>Was-bei-der-Planung-einer-Solaranlage-wichtig-ist</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Verbraucherzentrale: Informieren Sie Ihren Wohngebäudeversicherer; PV Versicherung kann uU angeraten sein…</w:t>
            </w:r>
          </w:p>
        </w:tc>
      </w:tr>
      <w:tr>
        <w:trPr>
          <w:trHeight w:val="675" w:hRule="atLeast"/>
        </w:trPr>
        <w:tc>
          <w:tcPr>
            <w:tcW w:w="23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Betrieb</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Online Ratgeber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27" w:tgtFrame="_parent">
              <w:r>
                <w:rPr/>
                <w:t>Was-bei-der-Planung-einer-Solaranlage-wichtig-ist</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Verbraucherzentrale: Empfehlung: Check alle 5 Jahre durch Fachpersonal; ggf. auch Reinigung</w:t>
            </w:r>
          </w:p>
        </w:tc>
      </w:tr>
      <w:tr>
        <w:trPr>
          <w:trHeight w:val="1020" w:hRule="atLeast"/>
        </w:trPr>
        <w:tc>
          <w:tcPr>
            <w:tcW w:w="23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Erneuerung Betriebseinstellung Entsorgung</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Entsorgung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rFonts w:eastAsia="Times New Roman" w:cs="Arial" w:ascii="Arial" w:hAnsi="Arial"/>
                <w:color w:val="0563C1"/>
                <w:sz w:val="20"/>
                <w:szCs w:val="20"/>
                <w:u w:val="single"/>
                <w:lang w:eastAsia="de-DE"/>
              </w:rPr>
              <w:t> </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bookmarkStart w:id="52" w:name="RANGE!A32"/>
            <w:bookmarkEnd w:id="52"/>
            <w:r>
              <w:rPr>
                <w:rFonts w:eastAsia="Times New Roman" w:cs="Arial" w:ascii="Arial" w:hAnsi="Arial"/>
                <w:b/>
                <w:bCs/>
                <w:sz w:val="20"/>
                <w:szCs w:val="20"/>
                <w:lang w:eastAsia="de-DE"/>
              </w:rPr>
              <w:t>Produkte</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Speicher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Stromspeicher</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Speicher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Stromspeicher für PV-Anlagen</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Speicher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Ranking der besten Stromspeicher</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Speicher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Enerix Stromspeicher</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Speicher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Finanztipp Stromspeicher</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Speicher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28" w:tgtFrame="_parent">
              <w:r>
                <w:rPr/>
                <w:t>Förderkriterien_PV_Batteriespeicher</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Umweltverträglichkeit</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Klein-PV Anlagen - Info</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Mini-PV-Anlage</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510"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Solardachziegel</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29" w:tgtFrame="_parent">
              <w:r>
                <w:rPr/>
                <w:t>Denkmalgeschützte Objekte</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Optisch interessante Variante, z.B. bei denkmalgeschützten Objekten</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Solardachziegel</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30" w:tgtFrame="_parent">
              <w:r>
                <w:rPr/>
                <w:t>Kompetenz-Zentrum-Energie</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xml:space="preserve"> </w:t>
            </w:r>
          </w:p>
        </w:tc>
      </w:tr>
      <w:tr>
        <w:trPr>
          <w:trHeight w:val="255" w:hRule="atLeast"/>
        </w:trPr>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Grundsätzliches</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Grundsätzliches</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Sonnenseite</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Grundsätzliches</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Bundesverband Energie u. Wasser</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Bundesverband Energie u. Wasser</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Grundsätzliches</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Solarstrom-im-Eigenheim-wirtschaftlich nutzen</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Grundsätzliches</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31" w:tgtFrame="_parent">
              <w:r>
                <w:rPr/>
                <w:t>Test-Photovoltaik</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Grundsätzliches</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32" w:tgtFrame="_parent">
              <w:r>
                <w:rPr/>
                <w:t>Fakten-zu-Photovoltaik-in-Deutschland</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Newsletter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33" w:tgtFrame="_parent">
              <w:r>
                <w:rPr/>
                <w:t>Energieagentur</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Anmeldung erforderlich</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Andere Projekte</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Landkreis Lörrach</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Landkreis Lörrach</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Regionale Ansprechpartner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34" w:tgtFrame="_parent">
              <w:r>
                <w:rPr/>
                <w:t>Klimaschutzmanagement MSP</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Klimaschutzmanagement MSP</w:t>
            </w:r>
          </w:p>
        </w:tc>
      </w:tr>
      <w:tr>
        <w:trPr>
          <w:trHeight w:val="510"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Regionale Ansprechpartner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Energieagentur Unterfranken</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Energieagentur Unterfranken</w:t>
            </w:r>
          </w:p>
        </w:tc>
      </w:tr>
      <w:tr>
        <w:trPr>
          <w:trHeight w:val="76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Vereine, Initiativen, Betreiber erneuerbare Energien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Sonneninitative</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76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Vereine, Initiativen, Betreiber erneuerbare Energien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Carmen-ev</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76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Vereine, Initiativen, Betreiber erneuerbare Energien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rPr/>
              <w:t>Ökokreisgemünden Solarinitiative</w:t>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Informationen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35" w:tgtFrame="_parent">
              <w:r>
                <w:rPr/>
                <w:t>Vortragsreihe-Energie-und-Klimaschutz-für-jedermann</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Vortragsreihe in MSP</w:t>
            </w:r>
          </w:p>
        </w:tc>
      </w:tr>
      <w:tr>
        <w:trPr>
          <w:trHeight w:val="255" w:hRule="atLeast"/>
        </w:trPr>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Recht</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xml:space="preserve">Gesetze </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36" w:tgtFrame="_parent">
              <w:r>
                <w:rPr/>
                <w:t>Gebäudeenergiegesetz</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Gebäudeenergiegesetz</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xml:space="preserve">Gesetze </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37" w:tgtFrame="_parent">
              <w:r>
                <w:rPr/>
                <w:t>Mieterstrom-Info zum EEG</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Mieterstrom-Info zum EEG</w:t>
            </w:r>
          </w:p>
        </w:tc>
      </w:tr>
      <w:tr>
        <w:trPr>
          <w:trHeight w:val="255" w:hRule="atLeast"/>
        </w:trPr>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t>Umwelt</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Umweltverträglichkeit</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38" w:tgtFrame="_parent">
              <w:r>
                <w:rPr/>
                <w:t>Studie-Rohstoffe-für-die-Energiewende</w:t>
              </w:r>
            </w:hyperlink>
          </w:p>
        </w:tc>
        <w:tc>
          <w:tcPr>
            <w:tcW w:w="433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Welt-Artikel – Hinweis auf Blei und Cadmium – Risikostudie 2018</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Umweltverträglichkeit</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39" w:tgtFrame="_parent">
              <w:r>
                <w:rPr/>
                <w:t>Studie-Umweltrisiken-durch-Schadstoffe-in-Solarmodulen</w:t>
              </w:r>
            </w:hyperlink>
          </w:p>
        </w:tc>
        <w:tc>
          <w:tcPr>
            <w:tcW w:w="43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r>
          </w:p>
        </w:tc>
      </w:tr>
      <w:tr>
        <w:trPr>
          <w:trHeight w:val="510"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Umweltverträglichkeit</w:t>
              <w:br/>
              <w:t>Produktion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40" w:tgtFrame="_parent">
              <w:r>
                <w:rPr/>
                <w:t>Photovoltaik-Hersteller</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510"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Umweltverträglichkeit</w:t>
              <w:br/>
              <w:t>Produktion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41" w:tgtFrame="_parent">
              <w:r>
                <w:rPr/>
                <w:t>Energetische-Amortisation</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510"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Umweltverträglichkeit</w:t>
              <w:br/>
              <w:t>Produktion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42" w:tgtFrame="_parent">
              <w:r>
                <w:rPr/>
                <w:t>Verheerende-Umweltbilanz-von-chinesischen-Solarzellen</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Umweltverträglichkeit</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43" w:tgtFrame="_parent">
              <w:r>
                <w:rPr/>
                <w:t>Recycling-von-Photovoltaik-Modulen</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Recycling</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44" w:tgtFrame="_parent">
              <w:r>
                <w:rPr/>
                <w:t>Nachhaltigkeit</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510"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Umweltverträglichkeit</w:t>
              <w:br/>
              <w:t>Risiken</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45" w:tgtFrame="_parent">
              <w:r>
                <w:rPr/>
                <w:t>Energieatlas Bayern</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Information zu Nachhaltigkeit, Recycling, Schallbelastung, Elektromagnetische Strahlung:</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Wechselrichter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hyperlink r:id="rId46" w:tgtFrame="_parent">
              <w:r>
                <w:rPr/>
                <w:t>Ist-Elektrosmog-von-Photovoltaikanlagen-gesundheitsschädlich</w:t>
              </w:r>
            </w:hyperlink>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r>
        <w:trPr>
          <w:trHeight w:val="255" w:hRule="atLeast"/>
        </w:trPr>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b/>
                <w:b/>
                <w:bCs/>
                <w:sz w:val="20"/>
                <w:szCs w:val="20"/>
                <w:lang w:eastAsia="de-DE"/>
              </w:rPr>
            </w:pPr>
            <w:r>
              <w:rPr>
                <w:rFonts w:eastAsia="Times New Roman" w:cs="Arial" w:ascii="Arial" w:hAnsi="Arial"/>
                <w:b/>
                <w:bCs/>
                <w:sz w:val="20"/>
                <w:szCs w:val="20"/>
                <w:lang w:eastAsia="de-DE"/>
              </w:rPr>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Wechselrichter</w:t>
            </w:r>
          </w:p>
        </w:tc>
        <w:tc>
          <w:tcPr>
            <w:tcW w:w="5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color w:val="0563C1"/>
                <w:sz w:val="20"/>
                <w:szCs w:val="20"/>
                <w:u w:val="single"/>
                <w:lang w:eastAsia="de-DE"/>
              </w:rPr>
            </w:pPr>
            <w:r>
              <w:fldChar w:fldCharType="begin"/>
            </w:r>
            <w:r>
              <w:rPr/>
              <w:instrText> HYPERLINK "https://www.energie-experten.org/erneuerbare-energien/photovoltaik/planung/elektrosmog" \l "_blank"</w:instrText>
            </w:r>
            <w:r>
              <w:rPr/>
              <w:fldChar w:fldCharType="separate"/>
            </w:r>
            <w:r>
              <w:rPr/>
              <w:t>Elektrosmog</w:t>
            </w:r>
            <w:r>
              <w:rPr/>
              <w:fldChar w:fldCharType="end"/>
            </w:r>
            <w:r>
              <w:rPr/>
              <w:softHyphen/>
            </w:r>
          </w:p>
        </w:tc>
        <w:tc>
          <w:tcPr>
            <w:tcW w:w="4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Arial" w:hAnsi="Arial" w:eastAsia="Times New Roman" w:cs="Arial"/>
                <w:sz w:val="20"/>
                <w:szCs w:val="20"/>
                <w:lang w:eastAsia="de-DE"/>
              </w:rPr>
            </w:pPr>
            <w:r>
              <w:rPr>
                <w:rFonts w:eastAsia="Times New Roman" w:cs="Arial" w:ascii="Arial" w:hAnsi="Arial"/>
                <w:sz w:val="20"/>
                <w:szCs w:val="20"/>
                <w:lang w:eastAsia="de-DE"/>
              </w:rPr>
              <w:t> </w:t>
            </w:r>
          </w:p>
        </w:tc>
      </w:tr>
    </w:tbl>
    <w:p>
      <w:pPr>
        <w:sectPr>
          <w:headerReference w:type="default" r:id="rId47"/>
          <w:footerReference w:type="default" r:id="rId48"/>
          <w:type w:val="nextPage"/>
          <w:pgSz w:orient="landscape" w:w="16838" w:h="11906"/>
          <w:pgMar w:left="1417" w:right="1134" w:header="0" w:top="1417" w:footer="0" w:bottom="1135" w:gutter="0"/>
          <w:pgNumType w:fmt="decimal"/>
          <w:formProt w:val="false"/>
          <w:textDirection w:val="lrTb"/>
          <w:docGrid w:type="default" w:linePitch="360" w:charSpace="4096"/>
        </w:sectPr>
      </w:pPr>
    </w:p>
    <w:p>
      <w:pPr>
        <w:pStyle w:val="Berschrift21"/>
        <w:numPr>
          <w:ilvl w:val="1"/>
          <w:numId w:val="1"/>
        </w:numPr>
        <w:spacing w:lineRule="auto" w:line="240" w:before="200" w:after="0"/>
        <w:ind w:left="708" w:hanging="0"/>
        <w:rPr>
          <w:rFonts w:ascii="DejaVu Sans" w:hAnsi="DejaVu Sans"/>
          <w:sz w:val="24"/>
          <w:szCs w:val="24"/>
        </w:rPr>
      </w:pPr>
      <w:bookmarkStart w:id="53" w:name="__RefHeading___Toc2858_4199822208"/>
      <w:bookmarkEnd w:id="53"/>
      <w:r>
        <w:rPr/>
        <w:t xml:space="preserve">Solarpotentialkataster </w:t>
      </w:r>
      <w:hyperlink r:id="rId49">
        <w:r>
          <w:rPr>
            <w:rStyle w:val="Internetverknpfung"/>
            <w:rFonts w:ascii="DejaVu Sans" w:hAnsi="DejaVu Sans"/>
            <w:color w:val="0000FF" w:themeColor="hyperlink"/>
            <w:sz w:val="24"/>
            <w:szCs w:val="24"/>
          </w:rPr>
          <w:t>https://www.solare-stadt.de/main-spessart/Solarpotenzialkataster</w:t>
        </w:r>
      </w:hyperlink>
      <w:r>
        <w:rPr>
          <w:rFonts w:ascii="DejaVu Sans" w:hAnsi="DejaVu Sans"/>
          <w:sz w:val="24"/>
          <w:szCs w:val="24"/>
        </w:rPr>
        <w:t xml:space="preserve"> </w:t>
      </w:r>
    </w:p>
    <w:p>
      <w:pPr>
        <w:pStyle w:val="Berschrift"/>
        <w:numPr>
          <w:ilvl w:val="0"/>
          <w:numId w:val="6"/>
        </w:numPr>
        <w:rPr/>
      </w:pPr>
      <w:r>
        <w:rPr/>
        <w:t>Klicken Sie in der Karte auf Ihren Wohnort z.B. Gemünden</w:t>
      </w:r>
    </w:p>
    <w:p>
      <w:pPr>
        <w:pStyle w:val="Normal"/>
        <w:spacing w:lineRule="auto" w:line="240" w:before="0" w:after="0"/>
        <w:ind w:left="708" w:hanging="0"/>
        <w:rPr>
          <w:rFonts w:ascii="DejaVu Sans" w:hAnsi="DejaVu Sans"/>
          <w:sz w:val="24"/>
          <w:szCs w:val="24"/>
        </w:rPr>
      </w:pPr>
      <w:r>
        <w:rPr>
          <w:rFonts w:ascii="DejaVu Sans" w:hAnsi="DejaVu Sans"/>
          <w:sz w:val="24"/>
          <w:szCs w:val="24"/>
        </w:rPr>
        <w:drawing>
          <wp:anchor behindDoc="0" distT="0" distB="0" distL="114300" distR="114300" simplePos="0" locked="0" layoutInCell="1" allowOverlap="1" relativeHeight="3">
            <wp:simplePos x="0" y="0"/>
            <wp:positionH relativeFrom="column">
              <wp:posOffset>322580</wp:posOffset>
            </wp:positionH>
            <wp:positionV relativeFrom="paragraph">
              <wp:posOffset>8255</wp:posOffset>
            </wp:positionV>
            <wp:extent cx="4167505" cy="4478020"/>
            <wp:effectExtent l="0" t="0" r="0" b="0"/>
            <wp:wrapTight wrapText="bothSides">
              <wp:wrapPolygon edited="0">
                <wp:start x="-13" y="0"/>
                <wp:lineTo x="-13" y="21490"/>
                <wp:lineTo x="21521" y="21490"/>
                <wp:lineTo x="21521" y="0"/>
                <wp:lineTo x="-13" y="0"/>
              </wp:wrapPolygon>
            </wp:wrapTight>
            <wp:docPr id="1"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6" descr=""/>
                    <pic:cNvPicPr>
                      <a:picLocks noChangeAspect="1" noChangeArrowheads="1"/>
                    </pic:cNvPicPr>
                  </pic:nvPicPr>
                  <pic:blipFill>
                    <a:blip r:embed="rId50"/>
                    <a:srcRect l="0" t="0" r="0" b="1643"/>
                    <a:stretch>
                      <a:fillRect/>
                    </a:stretch>
                  </pic:blipFill>
                  <pic:spPr bwMode="auto">
                    <a:xfrm>
                      <a:off x="0" y="0"/>
                      <a:ext cx="4167505" cy="4478020"/>
                    </a:xfrm>
                    <a:prstGeom prst="rect">
                      <a:avLst/>
                    </a:prstGeom>
                  </pic:spPr>
                </pic:pic>
              </a:graphicData>
            </a:graphic>
          </wp:anchor>
        </w:drawing>
      </w:r>
    </w:p>
    <w:p>
      <w:pPr>
        <w:pStyle w:val="Normal"/>
        <w:spacing w:lineRule="auto" w:line="240" w:before="0" w:after="0"/>
        <w:ind w:left="708" w:hanging="0"/>
        <w:rPr>
          <w:rFonts w:ascii="DejaVu Sans" w:hAnsi="DejaVu Sans"/>
          <w:sz w:val="24"/>
          <w:szCs w:val="24"/>
        </w:rPr>
      </w:pPr>
      <w:r>
        <w:rPr>
          <w:rFonts w:ascii="DejaVu Sans" w:hAnsi="DejaVu Sans"/>
          <w:sz w:val="24"/>
          <w:szCs w:val="24"/>
        </w:rPr>
      </w:r>
    </w:p>
    <w:p>
      <w:pPr>
        <w:pStyle w:val="Normal"/>
        <w:spacing w:lineRule="auto" w:line="240" w:before="12876" w:after="0"/>
        <w:ind w:left="708" w:hanging="0"/>
        <w:rPr>
          <w:rFonts w:ascii="DejaVu Sans" w:hAnsi="DejaVu Sans"/>
          <w:sz w:val="24"/>
          <w:szCs w:val="24"/>
        </w:rPr>
      </w:pPr>
      <w:r>
        <w:rPr>
          <w:rFonts w:ascii="DejaVu Sans" w:hAnsi="DejaVu Sans"/>
          <w:sz w:val="24"/>
          <w:szCs w:val="24"/>
        </w:rPr>
      </w:r>
    </w:p>
    <w:p>
      <w:pPr>
        <w:pStyle w:val="Normal"/>
        <w:spacing w:lineRule="auto" w:line="240" w:before="0" w:after="0"/>
        <w:ind w:left="708" w:hanging="0"/>
        <w:rPr/>
      </w:pPr>
      <w:r>
        <w:rPr>
          <w:rFonts w:ascii="DejaVu Sans" w:hAnsi="DejaVu Sans"/>
          <w:sz w:val="24"/>
          <w:szCs w:val="24"/>
        </w:rPr>
        <w:t>Stand 2018 nutzen wir im Landkreis 8% des Potenzials – in Gemünden allerdings nur 7%.</w:t>
      </w:r>
    </w:p>
    <w:p>
      <w:pPr>
        <w:pStyle w:val="Normal"/>
        <w:spacing w:lineRule="auto" w:line="240" w:before="0" w:after="0"/>
        <w:rPr>
          <w:rFonts w:ascii="DejaVu Sans" w:hAnsi="DejaVu Sans"/>
          <w:sz w:val="24"/>
          <w:szCs w:val="24"/>
        </w:rPr>
      </w:pPr>
      <w:r>
        <w:rPr>
          <w:rFonts w:ascii="DejaVu Sans" w:hAnsi="DejaVu Sans"/>
          <w:sz w:val="24"/>
          <w:szCs w:val="24"/>
        </w:rPr>
        <w:drawing>
          <wp:anchor behindDoc="0" distT="0" distB="4445" distL="114300" distR="115570" simplePos="0" locked="0" layoutInCell="1" allowOverlap="1" relativeHeight="2">
            <wp:simplePos x="0" y="0"/>
            <wp:positionH relativeFrom="page">
              <wp:posOffset>7513320</wp:posOffset>
            </wp:positionH>
            <wp:positionV relativeFrom="paragraph">
              <wp:posOffset>85725</wp:posOffset>
            </wp:positionV>
            <wp:extent cx="2284730" cy="4338955"/>
            <wp:effectExtent l="0" t="0" r="0" b="0"/>
            <wp:wrapTight wrapText="bothSides">
              <wp:wrapPolygon edited="0">
                <wp:start x="-136" y="0"/>
                <wp:lineTo x="-136" y="21380"/>
                <wp:lineTo x="21420" y="21380"/>
                <wp:lineTo x="21420" y="0"/>
                <wp:lineTo x="-136" y="0"/>
              </wp:wrapPolygon>
            </wp:wrapTight>
            <wp:docPr id="2"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1" descr=""/>
                    <pic:cNvPicPr>
                      <a:picLocks noChangeAspect="1" noChangeArrowheads="1"/>
                    </pic:cNvPicPr>
                  </pic:nvPicPr>
                  <pic:blipFill>
                    <a:blip r:embed="rId51"/>
                    <a:stretch>
                      <a:fillRect/>
                    </a:stretch>
                  </pic:blipFill>
                  <pic:spPr bwMode="auto">
                    <a:xfrm>
                      <a:off x="0" y="0"/>
                      <a:ext cx="2284730" cy="4338955"/>
                    </a:xfrm>
                    <a:prstGeom prst="rect">
                      <a:avLst/>
                    </a:prstGeom>
                  </pic:spPr>
                </pic:pic>
              </a:graphicData>
            </a:graphic>
          </wp:anchor>
        </w:drawing>
      </w:r>
    </w:p>
    <w:p>
      <w:pPr>
        <w:pStyle w:val="Normal"/>
        <w:spacing w:lineRule="auto" w:line="240" w:before="0" w:after="0"/>
        <w:rPr>
          <w:rFonts w:ascii="DejaVu Sans" w:hAnsi="DejaVu Sans"/>
          <w:sz w:val="24"/>
          <w:szCs w:val="24"/>
        </w:rPr>
      </w:pPr>
      <w:r>
        <w:rPr>
          <w:rFonts w:ascii="DejaVu Sans" w:hAnsi="DejaVu Sans"/>
          <w:sz w:val="24"/>
          <w:szCs w:val="24"/>
        </w:rPr>
      </w:r>
    </w:p>
    <w:p>
      <w:pPr>
        <w:pStyle w:val="Berschrift"/>
        <w:ind w:left="720" w:hanging="0"/>
        <w:rPr/>
      </w:pPr>
      <w:r>
        <w:rPr/>
        <w:drawing>
          <wp:inline distT="0" distB="0" distL="0" distR="0">
            <wp:extent cx="6002655" cy="3157855"/>
            <wp:effectExtent l="0" t="0" r="0" b="0"/>
            <wp:docPr id="3"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8" descr=""/>
                    <pic:cNvPicPr>
                      <a:picLocks noChangeAspect="1" noChangeArrowheads="1"/>
                    </pic:cNvPicPr>
                  </pic:nvPicPr>
                  <pic:blipFill>
                    <a:blip r:embed="rId52"/>
                    <a:stretch>
                      <a:fillRect/>
                    </a:stretch>
                  </pic:blipFill>
                  <pic:spPr bwMode="auto">
                    <a:xfrm>
                      <a:off x="0" y="0"/>
                      <a:ext cx="6002655" cy="3157855"/>
                    </a:xfrm>
                    <a:prstGeom prst="rect">
                      <a:avLst/>
                    </a:prstGeom>
                  </pic:spPr>
                </pic:pic>
              </a:graphicData>
            </a:graphic>
          </wp:inline>
        </w:drawing>
      </w:r>
    </w:p>
    <w:p>
      <w:pPr>
        <w:pStyle w:val="Normal"/>
        <w:spacing w:lineRule="auto" w:line="240" w:before="0" w:after="0"/>
        <w:rPr>
          <w:rFonts w:ascii="DejaVu Sans" w:hAnsi="DejaVu Sans"/>
          <w:sz w:val="24"/>
          <w:szCs w:val="24"/>
        </w:rPr>
      </w:pPr>
      <w:r>
        <w:rPr>
          <w:rFonts w:ascii="DejaVu Sans" w:hAnsi="DejaVu Sans"/>
          <w:sz w:val="24"/>
          <w:szCs w:val="24"/>
        </w:rPr>
      </w:r>
    </w:p>
    <w:p>
      <w:pPr>
        <w:pStyle w:val="Normal"/>
        <w:spacing w:lineRule="auto" w:line="240" w:before="0" w:after="0"/>
        <w:rPr>
          <w:rFonts w:ascii="DejaVu Sans" w:hAnsi="DejaVu Sans"/>
          <w:sz w:val="24"/>
          <w:szCs w:val="24"/>
        </w:rPr>
      </w:pPr>
      <w:r>
        <w:rPr>
          <w:rFonts w:ascii="DejaVu Sans" w:hAnsi="DejaVu Sans"/>
          <w:sz w:val="24"/>
          <w:szCs w:val="24"/>
        </w:rPr>
        <w:t>Solarpotential (Thermie) mit Hintergrundkarte</w:t>
      </w:r>
    </w:p>
    <w:p>
      <w:pPr>
        <w:pStyle w:val="Normal"/>
        <w:spacing w:lineRule="auto" w:line="240" w:before="0" w:after="0"/>
        <w:rPr>
          <w:rFonts w:ascii="DejaVu Sans" w:hAnsi="DejaVu Sans"/>
          <w:sz w:val="24"/>
          <w:szCs w:val="24"/>
        </w:rPr>
      </w:pPr>
      <w:r>
        <w:rPr/>
        <w:drawing>
          <wp:inline distT="0" distB="0" distL="0" distR="0">
            <wp:extent cx="5719445" cy="2674620"/>
            <wp:effectExtent l="0" t="0" r="0" b="0"/>
            <wp:docPr id="4" name="Grafi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9" descr=""/>
                    <pic:cNvPicPr>
                      <a:picLocks noChangeAspect="1" noChangeArrowheads="1"/>
                    </pic:cNvPicPr>
                  </pic:nvPicPr>
                  <pic:blipFill>
                    <a:blip r:embed="rId53"/>
                    <a:stretch>
                      <a:fillRect/>
                    </a:stretch>
                  </pic:blipFill>
                  <pic:spPr bwMode="auto">
                    <a:xfrm>
                      <a:off x="0" y="0"/>
                      <a:ext cx="5719445" cy="2674620"/>
                    </a:xfrm>
                    <a:prstGeom prst="rect">
                      <a:avLst/>
                    </a:prstGeom>
                  </pic:spPr>
                </pic:pic>
              </a:graphicData>
            </a:graphic>
          </wp:inline>
        </w:drawing>
      </w:r>
    </w:p>
    <w:p>
      <w:pPr>
        <w:pStyle w:val="Normal"/>
        <w:spacing w:lineRule="auto" w:line="240" w:before="0" w:after="0"/>
        <w:rPr>
          <w:rFonts w:ascii="DejaVu Sans" w:hAnsi="DejaVu Sans"/>
          <w:sz w:val="24"/>
          <w:szCs w:val="24"/>
        </w:rPr>
      </w:pPr>
      <w:r>
        <w:rPr>
          <w:rFonts w:ascii="DejaVu Sans" w:hAnsi="DejaVu Sans"/>
          <w:sz w:val="24"/>
          <w:szCs w:val="24"/>
        </w:rPr>
        <w:t>Einstrahlung</w:t>
      </w:r>
    </w:p>
    <w:p>
      <w:pPr>
        <w:pStyle w:val="Normal"/>
        <w:spacing w:lineRule="auto" w:line="240" w:before="0" w:after="0"/>
        <w:rPr>
          <w:rFonts w:ascii="DejaVu Sans" w:hAnsi="DejaVu Sans"/>
          <w:sz w:val="24"/>
          <w:szCs w:val="24"/>
        </w:rPr>
      </w:pPr>
      <w:r>
        <w:rPr/>
        <w:drawing>
          <wp:inline distT="0" distB="0" distL="0" distR="0">
            <wp:extent cx="5760720" cy="2656840"/>
            <wp:effectExtent l="0" t="0" r="0" b="0"/>
            <wp:docPr id="5" name="Grafi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0" descr=""/>
                    <pic:cNvPicPr>
                      <a:picLocks noChangeAspect="1" noChangeArrowheads="1"/>
                    </pic:cNvPicPr>
                  </pic:nvPicPr>
                  <pic:blipFill>
                    <a:blip r:embed="rId54"/>
                    <a:stretch>
                      <a:fillRect/>
                    </a:stretch>
                  </pic:blipFill>
                  <pic:spPr bwMode="auto">
                    <a:xfrm>
                      <a:off x="0" y="0"/>
                      <a:ext cx="5760720" cy="2656840"/>
                    </a:xfrm>
                    <a:prstGeom prst="rect">
                      <a:avLst/>
                    </a:prstGeom>
                  </pic:spPr>
                </pic:pic>
              </a:graphicData>
            </a:graphic>
          </wp:inline>
        </w:drawing>
      </w:r>
    </w:p>
    <w:p>
      <w:pPr>
        <w:pStyle w:val="Normal"/>
        <w:suppressAutoHyphens w:val="false"/>
        <w:spacing w:lineRule="auto" w:line="240" w:before="0" w:after="0"/>
        <w:rPr>
          <w:rFonts w:ascii="DejaVu Sans" w:hAnsi="DejaVu Sans"/>
          <w:sz w:val="24"/>
          <w:szCs w:val="24"/>
        </w:rPr>
      </w:pPr>
      <w:r>
        <w:rPr>
          <w:rFonts w:ascii="DejaVu Sans" w:hAnsi="DejaVu Sans"/>
          <w:sz w:val="24"/>
          <w:szCs w:val="24"/>
        </w:rPr>
      </w:r>
      <w:r>
        <w:br w:type="page"/>
      </w:r>
    </w:p>
    <w:p>
      <w:pPr>
        <w:pStyle w:val="Normal"/>
        <w:spacing w:lineRule="auto" w:line="240" w:before="0" w:after="0"/>
        <w:rPr>
          <w:rFonts w:ascii="DejaVu Sans" w:hAnsi="DejaVu Sans"/>
          <w:sz w:val="24"/>
          <w:szCs w:val="24"/>
        </w:rPr>
      </w:pPr>
      <w:r>
        <w:rPr>
          <w:rFonts w:ascii="DejaVu Sans" w:hAnsi="DejaVu Sans"/>
          <w:sz w:val="24"/>
          <w:szCs w:val="24"/>
        </w:rPr>
        <w:t>Register &lt;</w:t>
      </w:r>
      <w:r>
        <w:rPr>
          <w:rFonts w:ascii="DejaVu Sans" w:hAnsi="DejaVu Sans"/>
          <w:caps/>
          <w:sz w:val="24"/>
          <w:szCs w:val="24"/>
        </w:rPr>
        <w:t>Fragen und Antworten</w:t>
      </w:r>
      <w:r>
        <w:rPr>
          <w:rFonts w:ascii="DejaVu Sans" w:hAnsi="DejaVu Sans"/>
          <w:sz w:val="24"/>
          <w:szCs w:val="24"/>
        </w:rPr>
        <w:t>&gt;</w:t>
      </w:r>
    </w:p>
    <w:p>
      <w:pPr>
        <w:pStyle w:val="Normal"/>
        <w:spacing w:lineRule="auto" w:line="240" w:before="0" w:after="0"/>
        <w:rPr>
          <w:rFonts w:ascii="DejaVu Sans" w:hAnsi="DejaVu Sans"/>
          <w:sz w:val="24"/>
          <w:szCs w:val="24"/>
        </w:rPr>
      </w:pPr>
      <w:r>
        <w:rPr>
          <w:rFonts w:ascii="DejaVu Sans" w:hAnsi="DejaVu Sans"/>
          <w:sz w:val="24"/>
          <w:szCs w:val="24"/>
        </w:rPr>
      </w:r>
    </w:p>
    <w:p>
      <w:pPr>
        <w:pStyle w:val="Normal"/>
        <w:spacing w:lineRule="auto" w:line="240" w:before="0" w:after="0"/>
        <w:rPr>
          <w:rFonts w:ascii="DejaVu Sans" w:hAnsi="DejaVu Sans"/>
          <w:sz w:val="24"/>
          <w:szCs w:val="24"/>
        </w:rPr>
      </w:pPr>
      <w:r>
        <w:rPr/>
        <w:drawing>
          <wp:inline distT="0" distB="0" distL="0" distR="0">
            <wp:extent cx="5760720" cy="5469890"/>
            <wp:effectExtent l="0" t="0" r="0" b="0"/>
            <wp:docPr id="6" name="Grafik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
                    <pic:cNvPicPr>
                      <a:picLocks noChangeAspect="1" noChangeArrowheads="1"/>
                    </pic:cNvPicPr>
                  </pic:nvPicPr>
                  <pic:blipFill>
                    <a:blip r:embed="rId55"/>
                    <a:stretch>
                      <a:fillRect/>
                    </a:stretch>
                  </pic:blipFill>
                  <pic:spPr bwMode="auto">
                    <a:xfrm>
                      <a:off x="0" y="0"/>
                      <a:ext cx="5760720" cy="5469890"/>
                    </a:xfrm>
                    <a:prstGeom prst="rect">
                      <a:avLst/>
                    </a:prstGeom>
                  </pic:spPr>
                </pic:pic>
              </a:graphicData>
            </a:graphic>
          </wp:inline>
        </w:drawing>
      </w:r>
    </w:p>
    <w:p>
      <w:pPr>
        <w:pStyle w:val="Normal"/>
        <w:spacing w:lineRule="auto" w:line="240" w:before="0" w:after="0"/>
        <w:rPr>
          <w:rFonts w:ascii="DejaVu Sans" w:hAnsi="DejaVu Sans"/>
          <w:sz w:val="24"/>
          <w:szCs w:val="24"/>
        </w:rPr>
      </w:pPr>
      <w:r>
        <w:rPr>
          <w:rFonts w:ascii="DejaVu Sans" w:hAnsi="DejaVu Sans"/>
          <w:sz w:val="24"/>
          <w:szCs w:val="24"/>
        </w:rPr>
      </w:r>
    </w:p>
    <w:p>
      <w:pPr>
        <w:pStyle w:val="Normal"/>
        <w:spacing w:lineRule="auto" w:line="240" w:before="0" w:after="0"/>
        <w:rPr>
          <w:rFonts w:ascii="DejaVu Sans" w:hAnsi="DejaVu Sans"/>
          <w:sz w:val="24"/>
          <w:szCs w:val="24"/>
        </w:rPr>
      </w:pPr>
      <w:r>
        <w:rPr>
          <w:rFonts w:ascii="DejaVu Sans" w:hAnsi="DejaVu Sans"/>
          <w:sz w:val="24"/>
          <w:szCs w:val="24"/>
        </w:rPr>
        <w:t>Register &lt;</w:t>
      </w:r>
      <w:r>
        <w:rPr>
          <w:rFonts w:ascii="DejaVu Sans" w:hAnsi="DejaVu Sans"/>
          <w:caps/>
          <w:sz w:val="24"/>
          <w:szCs w:val="24"/>
        </w:rPr>
        <w:t>Tipps zur Planung</w:t>
      </w:r>
      <w:r>
        <w:rPr>
          <w:rFonts w:ascii="DejaVu Sans" w:hAnsi="DejaVu Sans"/>
          <w:sz w:val="24"/>
          <w:szCs w:val="24"/>
        </w:rPr>
        <w:t>&gt;</w:t>
      </w:r>
    </w:p>
    <w:p>
      <w:pPr>
        <w:pStyle w:val="Normal"/>
        <w:spacing w:lineRule="auto" w:line="240" w:before="0" w:after="0"/>
        <w:rPr>
          <w:rFonts w:ascii="DejaVu Sans" w:hAnsi="DejaVu Sans"/>
          <w:sz w:val="24"/>
          <w:szCs w:val="24"/>
        </w:rPr>
      </w:pPr>
      <w:r>
        <w:rPr/>
        <w:drawing>
          <wp:inline distT="0" distB="0" distL="0" distR="0">
            <wp:extent cx="5760720" cy="2026920"/>
            <wp:effectExtent l="0" t="0" r="0" b="0"/>
            <wp:docPr id="7" name="Grafi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2" descr=""/>
                    <pic:cNvPicPr>
                      <a:picLocks noChangeAspect="1" noChangeArrowheads="1"/>
                    </pic:cNvPicPr>
                  </pic:nvPicPr>
                  <pic:blipFill>
                    <a:blip r:embed="rId56"/>
                    <a:stretch>
                      <a:fillRect/>
                    </a:stretch>
                  </pic:blipFill>
                  <pic:spPr bwMode="auto">
                    <a:xfrm>
                      <a:off x="0" y="0"/>
                      <a:ext cx="5760720" cy="2026920"/>
                    </a:xfrm>
                    <a:prstGeom prst="rect">
                      <a:avLst/>
                    </a:prstGeom>
                  </pic:spPr>
                </pic:pic>
              </a:graphicData>
            </a:graphic>
          </wp:inline>
        </w:drawing>
      </w:r>
    </w:p>
    <w:p>
      <w:pPr>
        <w:pStyle w:val="Normal"/>
        <w:suppressAutoHyphens w:val="false"/>
        <w:spacing w:lineRule="auto" w:line="240" w:before="0" w:after="0"/>
        <w:rPr/>
      </w:pPr>
      <w:r>
        <w:rPr/>
      </w:r>
      <w:r>
        <w:br w:type="page"/>
      </w:r>
    </w:p>
    <w:p>
      <w:pPr>
        <w:pStyle w:val="Berschrift11"/>
        <w:numPr>
          <w:ilvl w:val="0"/>
          <w:numId w:val="1"/>
        </w:numPr>
        <w:rPr>
          <w:rFonts w:ascii="Calibri" w:hAnsi="Calibri" w:cs="Calibri" w:asciiTheme="minorHAnsi" w:cstheme="minorHAnsi" w:hAnsiTheme="minorHAnsi"/>
        </w:rPr>
      </w:pPr>
      <w:bookmarkStart w:id="54" w:name="__RefHeading___Toc42945_2500843206"/>
      <w:bookmarkEnd w:id="54"/>
      <w:r>
        <w:rPr>
          <w:rFonts w:cs="Calibri" w:ascii="Calibri" w:hAnsi="Calibri" w:asciiTheme="minorHAnsi" w:cstheme="minorHAnsi" w:hAnsiTheme="minorHAnsi"/>
          <w:sz w:val="28"/>
          <w:szCs w:val="28"/>
        </w:rPr>
        <w:t>Praxis-Beispiel: Wie kann ich sehen, wie viel Strom ich produziere und verbrauche?</w:t>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t>Die Anbieterin oder der Anbieter der PV-Anlage wird Ihnen zeigen, wie Sie die Verbrauchswerte ablesen können; in der Regel funktioniert das über das eigene Smartphone oder den Computer. Ein Beispiel:</w:t>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p>
      <w:pPr>
        <w:pStyle w:val="Normal"/>
        <w:spacing w:lineRule="auto" w:line="240" w:before="0" w:after="0"/>
        <w:rPr>
          <w:rFonts w:ascii="Calibri" w:hAnsi="Calibri" w:cs="Calibri" w:asciiTheme="minorHAnsi" w:cstheme="minorHAnsi" w:hAnsiTheme="minorHAnsi"/>
          <w:sz w:val="24"/>
          <w:szCs w:val="24"/>
        </w:rPr>
      </w:pPr>
      <w:r>
        <w:rPr/>
        <w:drawing>
          <wp:inline distT="0" distB="0" distL="0" distR="0">
            <wp:extent cx="4963160" cy="3738245"/>
            <wp:effectExtent l="0" t="0" r="0" b="0"/>
            <wp:docPr id="8"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 descr=""/>
                    <pic:cNvPicPr>
                      <a:picLocks noChangeAspect="1" noChangeArrowheads="1"/>
                    </pic:cNvPicPr>
                  </pic:nvPicPr>
                  <pic:blipFill>
                    <a:blip r:embed="rId57"/>
                    <a:srcRect l="0" t="19592" r="0" b="0"/>
                    <a:stretch>
                      <a:fillRect/>
                    </a:stretch>
                  </pic:blipFill>
                  <pic:spPr bwMode="auto">
                    <a:xfrm>
                      <a:off x="0" y="0"/>
                      <a:ext cx="4963160" cy="3738245"/>
                    </a:xfrm>
                    <a:prstGeom prst="rect">
                      <a:avLst/>
                    </a:prstGeom>
                  </pic:spPr>
                </pic:pic>
              </a:graphicData>
            </a:graphic>
          </wp:inline>
        </w:drawing>
      </w:r>
    </w:p>
    <w:p>
      <w:pPr>
        <w:pStyle w:val="Normal"/>
        <w:tabs>
          <w:tab w:val="clear" w:pos="720"/>
          <w:tab w:val="left" w:pos="2552" w:leader="none"/>
        </w:tabs>
        <w:spacing w:lineRule="auto" w:line="240" w:before="0" w:after="0"/>
        <w:ind w:left="851" w:hanging="0"/>
        <w:rPr>
          <w:rFonts w:ascii="Calibri" w:hAnsi="Calibri" w:cs="Calibri" w:asciiTheme="minorHAnsi" w:cstheme="minorHAnsi" w:hAnsiTheme="minorHAnsi"/>
          <w:sz w:val="24"/>
          <w:szCs w:val="24"/>
        </w:rPr>
      </w:pPr>
      <w:r>
        <w:rPr>
          <w:rFonts w:cs="Calibri" w:cstheme="minorHAnsi"/>
          <w:sz w:val="24"/>
          <w:szCs w:val="24"/>
        </w:rPr>
        <w:t>Solar Produktion:</w:t>
        <w:tab/>
        <w:t>1.947 Watt</w:t>
      </w:r>
    </w:p>
    <w:p>
      <w:pPr>
        <w:pStyle w:val="Normal"/>
        <w:tabs>
          <w:tab w:val="clear" w:pos="720"/>
          <w:tab w:val="left" w:pos="2552" w:leader="none"/>
        </w:tabs>
        <w:spacing w:lineRule="auto" w:line="240" w:before="0" w:after="0"/>
        <w:ind w:left="851" w:hanging="0"/>
        <w:rPr>
          <w:rFonts w:ascii="Calibri" w:hAnsi="Calibri" w:cs="Calibri" w:asciiTheme="minorHAnsi" w:cstheme="minorHAnsi" w:hAnsiTheme="minorHAnsi"/>
          <w:sz w:val="24"/>
          <w:szCs w:val="24"/>
        </w:rPr>
      </w:pPr>
      <w:r>
        <w:rPr>
          <w:rFonts w:cs="Calibri" w:cstheme="minorHAnsi"/>
          <w:sz w:val="24"/>
          <w:szCs w:val="24"/>
        </w:rPr>
        <w:t>Batterie-Leistung:</w:t>
        <w:tab/>
        <w:t>0</w:t>
      </w:r>
    </w:p>
    <w:p>
      <w:pPr>
        <w:pStyle w:val="Normal"/>
        <w:tabs>
          <w:tab w:val="clear" w:pos="720"/>
          <w:tab w:val="left" w:pos="2552" w:leader="none"/>
        </w:tabs>
        <w:spacing w:lineRule="auto" w:line="240" w:before="0" w:after="0"/>
        <w:ind w:left="851" w:hanging="0"/>
        <w:rPr>
          <w:rFonts w:ascii="Calibri" w:hAnsi="Calibri" w:cs="Calibri" w:asciiTheme="minorHAnsi" w:cstheme="minorHAnsi" w:hAnsiTheme="minorHAnsi"/>
          <w:sz w:val="24"/>
          <w:szCs w:val="24"/>
        </w:rPr>
      </w:pPr>
      <w:r>
        <w:rPr>
          <w:rFonts w:cs="Calibri" w:cstheme="minorHAnsi"/>
          <w:sz w:val="24"/>
          <w:szCs w:val="24"/>
        </w:rPr>
        <w:t>Batterie-Status:</w:t>
        <w:tab/>
        <w:t>99 % aufgeladen</w:t>
      </w:r>
    </w:p>
    <w:p>
      <w:pPr>
        <w:pStyle w:val="Normal"/>
        <w:tabs>
          <w:tab w:val="clear" w:pos="720"/>
          <w:tab w:val="left" w:pos="2552" w:leader="none"/>
        </w:tabs>
        <w:spacing w:lineRule="auto" w:line="240" w:before="0" w:after="0"/>
        <w:ind w:left="851" w:hanging="0"/>
        <w:rPr>
          <w:rFonts w:ascii="Calibri" w:hAnsi="Calibri" w:cs="Calibri" w:asciiTheme="minorHAnsi" w:cstheme="minorHAnsi" w:hAnsiTheme="minorHAnsi"/>
          <w:sz w:val="24"/>
          <w:szCs w:val="24"/>
        </w:rPr>
      </w:pPr>
      <w:r>
        <w:rPr>
          <w:rFonts w:cs="Calibri" w:cstheme="minorHAnsi"/>
          <w:sz w:val="24"/>
          <w:szCs w:val="24"/>
        </w:rPr>
        <w:t>Netz-Leistung:</w:t>
        <w:tab/>
        <w:t>-1.719 Watt werden in das Netz eingespeist</w:t>
      </w:r>
    </w:p>
    <w:p>
      <w:pPr>
        <w:pStyle w:val="Normal"/>
        <w:tabs>
          <w:tab w:val="clear" w:pos="720"/>
          <w:tab w:val="left" w:pos="2552" w:leader="none"/>
        </w:tabs>
        <w:spacing w:lineRule="auto" w:line="240" w:before="0" w:after="0"/>
        <w:ind w:left="851" w:hanging="0"/>
        <w:rPr>
          <w:rFonts w:ascii="Calibri" w:hAnsi="Calibri" w:cs="Calibri" w:asciiTheme="minorHAnsi" w:cstheme="minorHAnsi" w:hAnsiTheme="minorHAnsi"/>
          <w:sz w:val="24"/>
          <w:szCs w:val="24"/>
        </w:rPr>
      </w:pPr>
      <w:r>
        <w:rPr>
          <w:rFonts w:cs="Calibri" w:cstheme="minorHAnsi"/>
          <w:sz w:val="24"/>
          <w:szCs w:val="24"/>
        </w:rPr>
        <w:t>Hausverbrauch:</w:t>
        <w:tab/>
        <w:t>238 Watt</w:t>
      </w:r>
    </w:p>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t>Informationen über Produktion, Hausverbrauch und Prognose für den Tag</w:t>
      </w:r>
    </w:p>
    <w:p>
      <w:pPr>
        <w:pStyle w:val="Normal"/>
        <w:spacing w:lineRule="auto" w:line="240" w:before="0" w:after="0"/>
        <w:rPr>
          <w:rFonts w:ascii="Calibri" w:hAnsi="Calibri" w:cs="Calibri" w:asciiTheme="minorHAnsi" w:cstheme="minorHAnsi" w:hAnsiTheme="minorHAnsi"/>
          <w:sz w:val="24"/>
          <w:szCs w:val="24"/>
        </w:rPr>
      </w:pPr>
      <w:r>
        <w:rPr/>
        <w:drawing>
          <wp:inline distT="0" distB="0" distL="0" distR="0">
            <wp:extent cx="5760720" cy="5865495"/>
            <wp:effectExtent l="0" t="0" r="0" b="0"/>
            <wp:docPr id="9"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 descr=""/>
                    <pic:cNvPicPr>
                      <a:picLocks noChangeAspect="1" noChangeArrowheads="1"/>
                    </pic:cNvPicPr>
                  </pic:nvPicPr>
                  <pic:blipFill>
                    <a:blip r:embed="rId58"/>
                    <a:srcRect l="0" t="4199" r="0" b="0"/>
                    <a:stretch>
                      <a:fillRect/>
                    </a:stretch>
                  </pic:blipFill>
                  <pic:spPr bwMode="auto">
                    <a:xfrm>
                      <a:off x="0" y="0"/>
                      <a:ext cx="5760720" cy="5865495"/>
                    </a:xfrm>
                    <a:prstGeom prst="rect">
                      <a:avLst/>
                    </a:prstGeom>
                  </pic:spPr>
                </pic:pic>
              </a:graphicData>
            </a:graphic>
          </wp:inline>
        </w:drawing>
      </w:r>
    </w:p>
    <w:p>
      <w:pPr>
        <w:pStyle w:val="Normal"/>
        <w:spacing w:lineRule="auto" w:line="240" w:before="0" w:after="0"/>
        <w:rPr/>
      </w:pPr>
      <w:r>
        <w:rPr/>
        <w:drawing>
          <wp:inline distT="0" distB="0" distL="0" distR="0">
            <wp:extent cx="7080885" cy="5345430"/>
            <wp:effectExtent l="0" t="0" r="0" b="0"/>
            <wp:docPr id="10"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8" descr=""/>
                    <pic:cNvPicPr>
                      <a:picLocks noChangeAspect="1" noChangeArrowheads="1"/>
                    </pic:cNvPicPr>
                  </pic:nvPicPr>
                  <pic:blipFill>
                    <a:blip r:embed="rId59"/>
                    <a:stretch>
                      <a:fillRect/>
                    </a:stretch>
                  </pic:blipFill>
                  <pic:spPr bwMode="auto">
                    <a:xfrm>
                      <a:off x="0" y="0"/>
                      <a:ext cx="7080885" cy="5345430"/>
                    </a:xfrm>
                    <a:prstGeom prst="rect">
                      <a:avLst/>
                    </a:prstGeom>
                  </pic:spPr>
                </pic:pic>
              </a:graphicData>
            </a:graphic>
          </wp:inline>
        </w:drawing>
      </w:r>
    </w:p>
    <w:sectPr>
      <w:headerReference w:type="default" r:id="rId60"/>
      <w:footerReference w:type="default" r:id="rId61"/>
      <w:type w:val="nextPage"/>
      <w:pgSz w:orient="landscape" w:w="16838" w:h="11906"/>
      <w:pgMar w:left="1417" w:right="1134" w:header="0" w:top="1417" w:footer="0" w:bottom="1135"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Tahoma">
    <w:charset w:val="00"/>
    <w:family w:val="roman"/>
    <w:pitch w:val="variable"/>
  </w:font>
  <w:font w:name="Liberation Sans">
    <w:altName w:val="Arial"/>
    <w:charset w:val="00"/>
    <w:family w:val="roman"/>
    <w:pitch w:val="variable"/>
  </w:font>
  <w:font w:name="DejaVu Sans">
    <w:charset w:val="00"/>
    <w:family w:val="roman"/>
    <w:pitch w:val="variable"/>
  </w:font>
  <w:font w:name="Arial">
    <w:charset w:val="00"/>
    <w:family w:val="roman"/>
    <w:pitch w:val="variable"/>
  </w:font>
  <w:font w:name="Wingdings">
    <w:charset w:val="02"/>
    <w:family w:val="auto"/>
    <w:pitch w:val="variable"/>
  </w:font>
  <w:font w:name="Courier New">
    <w:charset w:val="01"/>
    <w:family w:val="modern"/>
    <w:pitch w:val="fixed"/>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85691889"/>
    </w:sdtPr>
    <w:sdtContent>
      <w:p>
        <w:pPr>
          <w:pStyle w:val="Fuzeile1"/>
          <w:pBdr>
            <w:top w:val="single" w:sz="4" w:space="1" w:color="000000"/>
          </w:pBdr>
          <w:rPr/>
        </w:pPr>
        <w:r>
          <w:rPr/>
          <w:t xml:space="preserve">Seite </w:t>
        </w:r>
        <w:r>
          <w:rPr>
            <w:b/>
            <w:bCs/>
            <w:sz w:val="24"/>
            <w:szCs w:val="24"/>
          </w:rPr>
          <w:fldChar w:fldCharType="begin"/>
        </w:r>
        <w:r>
          <w:rPr>
            <w:sz w:val="24"/>
            <w:b/>
            <w:szCs w:val="24"/>
            <w:bCs/>
          </w:rPr>
          <w:instrText> PAGE </w:instrText>
        </w:r>
        <w:r>
          <w:rPr>
            <w:sz w:val="24"/>
            <w:b/>
            <w:szCs w:val="24"/>
            <w:bCs/>
          </w:rPr>
          <w:fldChar w:fldCharType="separate"/>
        </w:r>
        <w:r>
          <w:rPr>
            <w:sz w:val="24"/>
            <w:b/>
            <w:szCs w:val="24"/>
            <w:bCs/>
          </w:rPr>
          <w:t>9</w:t>
        </w:r>
        <w:r>
          <w:rPr>
            <w:sz w:val="24"/>
            <w:b/>
            <w:szCs w:val="24"/>
            <w:bCs/>
          </w:rPr>
          <w:fldChar w:fldCharType="end"/>
        </w:r>
        <w:r>
          <w:rPr/>
          <w:t xml:space="preserve"> von </w:t>
        </w:r>
        <w:r>
          <w:rPr>
            <w:b/>
            <w:bCs/>
            <w:sz w:val="24"/>
            <w:szCs w:val="24"/>
          </w:rPr>
          <w:fldChar w:fldCharType="begin"/>
        </w:r>
        <w:r>
          <w:rPr>
            <w:sz w:val="24"/>
            <w:b/>
            <w:szCs w:val="24"/>
            <w:bCs/>
          </w:rPr>
          <w:instrText> NUMPAGES </w:instrText>
        </w:r>
        <w:r>
          <w:rPr>
            <w:sz w:val="24"/>
            <w:b/>
            <w:szCs w:val="24"/>
            <w:bCs/>
          </w:rPr>
          <w:fldChar w:fldCharType="separate"/>
        </w:r>
        <w:r>
          <w:rPr>
            <w:sz w:val="24"/>
            <w:b/>
            <w:szCs w:val="24"/>
            <w:bCs/>
          </w:rPr>
          <w:t>21</w:t>
        </w:r>
        <w:r>
          <w:rPr>
            <w:sz w:val="24"/>
            <w:b/>
            <w:szCs w:val="24"/>
            <w:bCs/>
          </w:rPr>
          <w:fldChar w:fldCharType="end"/>
        </w:r>
      </w:p>
    </w:sdtContent>
  </w:sdt>
  <w:p>
    <w:pPr>
      <w:pStyle w:val="Fuzeile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667214672"/>
    </w:sdtPr>
    <w:sdtContent>
      <w:p>
        <w:pPr>
          <w:pStyle w:val="Fuzeile1"/>
          <w:pBdr>
            <w:top w:val="single" w:sz="4" w:space="1" w:color="000000"/>
          </w:pBdr>
          <w:rPr/>
        </w:pPr>
        <w:r>
          <w:rPr/>
          <w:t xml:space="preserve">Seite </w:t>
        </w:r>
        <w:r>
          <w:rPr>
            <w:b/>
            <w:bCs/>
            <w:sz w:val="24"/>
            <w:szCs w:val="24"/>
          </w:rPr>
          <w:fldChar w:fldCharType="begin"/>
        </w:r>
        <w:r>
          <w:rPr>
            <w:sz w:val="24"/>
            <w:b/>
            <w:szCs w:val="24"/>
            <w:bCs/>
          </w:rPr>
          <w:instrText> PAGE </w:instrText>
        </w:r>
        <w:r>
          <w:rPr>
            <w:sz w:val="24"/>
            <w:b/>
            <w:szCs w:val="24"/>
            <w:bCs/>
          </w:rPr>
          <w:fldChar w:fldCharType="separate"/>
        </w:r>
        <w:r>
          <w:rPr>
            <w:sz w:val="24"/>
            <w:b/>
            <w:szCs w:val="24"/>
            <w:bCs/>
          </w:rPr>
          <w:t>13</w:t>
        </w:r>
        <w:r>
          <w:rPr>
            <w:sz w:val="24"/>
            <w:b/>
            <w:szCs w:val="24"/>
            <w:bCs/>
          </w:rPr>
          <w:fldChar w:fldCharType="end"/>
        </w:r>
        <w:r>
          <w:rPr/>
          <w:t xml:space="preserve"> von </w:t>
        </w:r>
        <w:r>
          <w:rPr>
            <w:b/>
            <w:bCs/>
            <w:sz w:val="24"/>
            <w:szCs w:val="24"/>
          </w:rPr>
          <w:fldChar w:fldCharType="begin"/>
        </w:r>
        <w:r>
          <w:rPr>
            <w:sz w:val="24"/>
            <w:b/>
            <w:szCs w:val="24"/>
            <w:bCs/>
          </w:rPr>
          <w:instrText> NUMPAGES </w:instrText>
        </w:r>
        <w:r>
          <w:rPr>
            <w:sz w:val="24"/>
            <w:b/>
            <w:szCs w:val="24"/>
            <w:bCs/>
          </w:rPr>
          <w:fldChar w:fldCharType="separate"/>
        </w:r>
        <w:r>
          <w:rPr>
            <w:sz w:val="24"/>
            <w:b/>
            <w:szCs w:val="24"/>
            <w:bCs/>
          </w:rPr>
          <w:t>21</w:t>
        </w:r>
        <w:r>
          <w:rPr>
            <w:sz w:val="24"/>
            <w:b/>
            <w:szCs w:val="24"/>
            <w:bCs/>
          </w:rPr>
          <w:fldChar w:fldCharType="end"/>
        </w:r>
      </w:p>
    </w:sdtContent>
  </w:sdt>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37670070"/>
    </w:sdtPr>
    <w:sdtContent>
      <w:p>
        <w:pPr>
          <w:pStyle w:val="Fuzeile1"/>
          <w:pBdr>
            <w:top w:val="single" w:sz="4" w:space="1" w:color="000000"/>
          </w:pBdr>
          <w:rPr/>
        </w:pPr>
        <w:r>
          <w:rPr/>
          <w:t xml:space="preserve">Seite </w:t>
        </w:r>
        <w:r>
          <w:rPr>
            <w:b/>
            <w:bCs/>
            <w:sz w:val="24"/>
            <w:szCs w:val="24"/>
          </w:rPr>
          <w:fldChar w:fldCharType="begin"/>
        </w:r>
        <w:r>
          <w:rPr>
            <w:sz w:val="24"/>
            <w:b/>
            <w:szCs w:val="24"/>
            <w:bCs/>
          </w:rPr>
          <w:instrText> PAGE </w:instrText>
        </w:r>
        <w:r>
          <w:rPr>
            <w:sz w:val="24"/>
            <w:b/>
            <w:szCs w:val="24"/>
            <w:bCs/>
          </w:rPr>
          <w:fldChar w:fldCharType="separate"/>
        </w:r>
        <w:r>
          <w:rPr>
            <w:sz w:val="24"/>
            <w:b/>
            <w:szCs w:val="24"/>
            <w:bCs/>
          </w:rPr>
          <w:t>20</w:t>
        </w:r>
        <w:r>
          <w:rPr>
            <w:sz w:val="24"/>
            <w:b/>
            <w:szCs w:val="24"/>
            <w:bCs/>
          </w:rPr>
          <w:fldChar w:fldCharType="end"/>
        </w:r>
        <w:r>
          <w:rPr/>
          <w:t xml:space="preserve"> von </w:t>
        </w:r>
        <w:r>
          <w:rPr>
            <w:b/>
            <w:bCs/>
            <w:sz w:val="24"/>
            <w:szCs w:val="24"/>
          </w:rPr>
          <w:fldChar w:fldCharType="begin"/>
        </w:r>
        <w:r>
          <w:rPr>
            <w:sz w:val="24"/>
            <w:b/>
            <w:szCs w:val="24"/>
            <w:bCs/>
          </w:rPr>
          <w:instrText> NUMPAGES </w:instrText>
        </w:r>
        <w:r>
          <w:rPr>
            <w:sz w:val="24"/>
            <w:b/>
            <w:szCs w:val="24"/>
            <w:bCs/>
          </w:rPr>
          <w:fldChar w:fldCharType="separate"/>
        </w:r>
        <w:r>
          <w:rPr>
            <w:sz w:val="24"/>
            <w:b/>
            <w:szCs w:val="24"/>
            <w:bCs/>
          </w:rPr>
          <w:t>21</w:t>
        </w:r>
        <w:r>
          <w:rPr>
            <w:sz w:val="24"/>
            <w:b/>
            <w:szCs w:val="24"/>
            <w:bCs/>
          </w:rPr>
          <w:fldChar w:fldCharType="end"/>
        </w:r>
      </w:p>
    </w:sdtContent>
  </w:sdt>
  <w:p>
    <w:pPr>
      <w:pStyle w:val="Fuzeile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1"/>
      <w:rPr/>
    </w:pPr>
    <w:r>
      <w:rPr/>
    </w:r>
  </w:p>
  <w:p>
    <w:pPr>
      <w:pStyle w:val="Kopfzeile1"/>
      <w:rPr/>
    </w:pPr>
    <w:r>
      <w:rPr/>
    </w:r>
  </w:p>
  <w:p>
    <w:pPr>
      <w:pStyle w:val="Kopfzeile1"/>
      <w:rPr/>
    </w:pPr>
    <w:r>
      <w:rPr/>
    </w:r>
  </w:p>
  <w:p>
    <w:pPr>
      <w:pStyle w:val="Kopfzeile1"/>
      <w:pBdr>
        <w:bottom w:val="single" w:sz="4" w:space="1" w:color="000000"/>
      </w:pBdr>
      <w:rPr/>
    </w:pPr>
    <w:r>
      <w:rPr/>
      <w:t>Informationen zur Errichtung von Photovoltaik-Anlagen</w:t>
      <w:tab/>
      <w:t>Arbeitskreis „MainSolar“</w:t>
    </w:r>
  </w:p>
  <w:p>
    <w:pPr>
      <w:pStyle w:val="Kopfzeile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1"/>
      <w:rPr/>
    </w:pPr>
    <w:r>
      <w:rPr/>
    </w:r>
  </w:p>
  <w:p>
    <w:pPr>
      <w:pStyle w:val="Kopfzeile1"/>
      <w:rPr/>
    </w:pPr>
    <w:r>
      <w:rPr/>
    </w:r>
  </w:p>
  <w:p>
    <w:pPr>
      <w:pStyle w:val="Kopfzeile1"/>
      <w:rPr/>
    </w:pPr>
    <w:r>
      <w:rPr/>
    </w:r>
  </w:p>
  <w:p>
    <w:pPr>
      <w:pStyle w:val="Kopfzeile1"/>
      <w:rPr/>
    </w:pPr>
    <w:r>
      <w:rPr/>
    </w:r>
  </w:p>
  <w:p>
    <w:pPr>
      <w:pStyle w:val="Kopfzeile1"/>
      <w:rPr/>
    </w:pPr>
    <w:r>
      <w:rPr>
        <w:b/>
        <w:sz w:val="32"/>
        <w:szCs w:val="32"/>
      </w:rPr>
      <w:t>Informationen zur Errichtung einer Photovoltaik-Anlage</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1"/>
      <w:rPr/>
    </w:pPr>
    <w:r>
      <w:rPr/>
    </w:r>
  </w:p>
  <w:p>
    <w:pPr>
      <w:pStyle w:val="Kopfzeile1"/>
      <w:rPr/>
    </w:pPr>
    <w:r>
      <w:rPr/>
    </w:r>
  </w:p>
  <w:p>
    <w:pPr>
      <w:pStyle w:val="Kopfzeile1"/>
      <w:rPr/>
    </w:pPr>
    <w:r>
      <w:rPr/>
    </w:r>
  </w:p>
  <w:p>
    <w:pPr>
      <w:pStyle w:val="Kopfzeile1"/>
      <w:pBdr>
        <w:bottom w:val="single" w:sz="4" w:space="1" w:color="000000"/>
      </w:pBdr>
      <w:rPr/>
    </w:pPr>
    <w:r>
      <w:rPr/>
      <w:t>Informationen zur Errichtung von Photovoltaik-Anlagen – Nützliche Links</w:t>
    </w:r>
  </w:p>
  <w:p>
    <w:pPr>
      <w:pStyle w:val="Kopfzeile1"/>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1"/>
      <w:rPr/>
    </w:pPr>
    <w:r>
      <w:rPr/>
    </w:r>
  </w:p>
  <w:p>
    <w:pPr>
      <w:pStyle w:val="Kopfzeile1"/>
      <w:rPr/>
    </w:pPr>
    <w:r>
      <w:rPr/>
    </w:r>
  </w:p>
  <w:p>
    <w:pPr>
      <w:pStyle w:val="Kopfzeile1"/>
      <w:rPr/>
    </w:pPr>
    <w:r>
      <w:rPr/>
    </w:r>
  </w:p>
  <w:p>
    <w:pPr>
      <w:pStyle w:val="Kopfzeile1"/>
      <w:pBdr>
        <w:bottom w:val="single" w:sz="4" w:space="1" w:color="000000"/>
      </w:pBdr>
      <w:rPr/>
    </w:pPr>
    <w:r>
      <w:rPr/>
      <w:t>Informationen zur Errichtung von Photovoltaik-Anlagen - Anhang</w:t>
    </w:r>
  </w:p>
  <w:p>
    <w:pPr>
      <w:pStyle w:val="Kopfzeile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336" w:hanging="360"/>
      </w:pPr>
      <w:rPr>
        <w:rFonts w:ascii="Symbol" w:hAnsi="Symbol" w:cs="Symbol" w:hint="default"/>
        <w:rFonts w:cs="Symbol"/>
      </w:rPr>
    </w:lvl>
    <w:lvl w:ilvl="1">
      <w:start w:val="1"/>
      <w:numFmt w:val="bullet"/>
      <w:lvlText w:val="o"/>
      <w:lvlJc w:val="left"/>
      <w:pPr>
        <w:ind w:left="1056" w:hanging="360"/>
      </w:pPr>
      <w:rPr>
        <w:rFonts w:ascii="Courier New" w:hAnsi="Courier New" w:cs="Courier New" w:hint="default"/>
        <w:rFonts w:cs="Courier New"/>
      </w:rPr>
    </w:lvl>
    <w:lvl w:ilvl="2">
      <w:start w:val="1"/>
      <w:numFmt w:val="bullet"/>
      <w:lvlText w:val=""/>
      <w:lvlJc w:val="left"/>
      <w:pPr>
        <w:ind w:left="1776" w:hanging="360"/>
      </w:pPr>
      <w:rPr>
        <w:rFonts w:ascii="Wingdings" w:hAnsi="Wingdings" w:cs="Wingdings" w:hint="default"/>
        <w:rFonts w:cs="Wingdings"/>
      </w:rPr>
    </w:lvl>
    <w:lvl w:ilvl="3">
      <w:start w:val="1"/>
      <w:numFmt w:val="bullet"/>
      <w:lvlText w:val=""/>
      <w:lvlJc w:val="left"/>
      <w:pPr>
        <w:ind w:left="2496" w:hanging="360"/>
      </w:pPr>
      <w:rPr>
        <w:rFonts w:ascii="Symbol" w:hAnsi="Symbol" w:cs="Symbol" w:hint="default"/>
        <w:rFonts w:cs="Symbol"/>
      </w:rPr>
    </w:lvl>
    <w:lvl w:ilvl="4">
      <w:start w:val="1"/>
      <w:numFmt w:val="bullet"/>
      <w:lvlText w:val="o"/>
      <w:lvlJc w:val="left"/>
      <w:pPr>
        <w:ind w:left="3216" w:hanging="360"/>
      </w:pPr>
      <w:rPr>
        <w:rFonts w:ascii="Courier New" w:hAnsi="Courier New" w:cs="Courier New" w:hint="default"/>
        <w:rFonts w:cs="Courier New"/>
      </w:rPr>
    </w:lvl>
    <w:lvl w:ilvl="5">
      <w:start w:val="1"/>
      <w:numFmt w:val="bullet"/>
      <w:lvlText w:val=""/>
      <w:lvlJc w:val="left"/>
      <w:pPr>
        <w:ind w:left="3936" w:hanging="360"/>
      </w:pPr>
      <w:rPr>
        <w:rFonts w:ascii="Wingdings" w:hAnsi="Wingdings" w:cs="Wingdings" w:hint="default"/>
        <w:rFonts w:cs="Wingdings"/>
      </w:rPr>
    </w:lvl>
    <w:lvl w:ilvl="6">
      <w:start w:val="1"/>
      <w:numFmt w:val="bullet"/>
      <w:lvlText w:val=""/>
      <w:lvlJc w:val="left"/>
      <w:pPr>
        <w:ind w:left="4656" w:hanging="360"/>
      </w:pPr>
      <w:rPr>
        <w:rFonts w:ascii="Symbol" w:hAnsi="Symbol" w:cs="Symbol" w:hint="default"/>
        <w:rFonts w:cs="Symbol"/>
      </w:rPr>
    </w:lvl>
    <w:lvl w:ilvl="7">
      <w:start w:val="1"/>
      <w:numFmt w:val="bullet"/>
      <w:lvlText w:val="o"/>
      <w:lvlJc w:val="left"/>
      <w:pPr>
        <w:ind w:left="5376" w:hanging="360"/>
      </w:pPr>
      <w:rPr>
        <w:rFonts w:ascii="Courier New" w:hAnsi="Courier New" w:cs="Courier New" w:hint="default"/>
        <w:rFonts w:cs="Courier New"/>
      </w:rPr>
    </w:lvl>
    <w:lvl w:ilvl="8">
      <w:start w:val="1"/>
      <w:numFmt w:val="bullet"/>
      <w:lvlText w:val=""/>
      <w:lvlJc w:val="left"/>
      <w:pPr>
        <w:ind w:left="6096" w:hanging="360"/>
      </w:pPr>
      <w:rPr>
        <w:rFonts w:ascii="Wingdings" w:hAnsi="Wingdings" w:cs="Wingdings" w:hint="default"/>
        <w:rFonts w:cs="Wingdings"/>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20"/>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Cs w:val="22"/>
        <w:lang w:val="de-DE"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4269e"/>
    <w:pPr>
      <w:widowControl/>
      <w:suppressAutoHyphens w:val="true"/>
      <w:bidi w:val="0"/>
      <w:spacing w:lineRule="auto" w:line="276" w:before="0" w:after="200"/>
      <w:jc w:val="left"/>
    </w:pPr>
    <w:rPr>
      <w:rFonts w:ascii="Calibri" w:hAnsi="Calibri" w:eastAsia="Calibri" w:cs="DejaVu Sans"/>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Strong">
    <w:name w:val="Strong"/>
    <w:basedOn w:val="DefaultParagraphFont"/>
    <w:qFormat/>
    <w:rsid w:val="0034269e"/>
    <w:rPr>
      <w:b/>
      <w:bCs/>
    </w:rPr>
  </w:style>
  <w:style w:type="character" w:styleId="Hyperlink1" w:customStyle="1">
    <w:name w:val="Hyperlink1"/>
    <w:basedOn w:val="DefaultParagraphFont"/>
    <w:uiPriority w:val="99"/>
    <w:unhideWhenUsed/>
    <w:qFormat/>
    <w:rsid w:val="001c30d6"/>
    <w:rPr>
      <w:color w:val="0000FF" w:themeColor="hyperlink"/>
      <w:u w:val="single"/>
    </w:rPr>
  </w:style>
  <w:style w:type="character" w:styleId="Verzeichnissprung" w:customStyle="1">
    <w:name w:val="Verzeichnissprung"/>
    <w:qFormat/>
    <w:rsid w:val="0034269e"/>
    <w:rPr/>
  </w:style>
  <w:style w:type="character" w:styleId="Bullets" w:customStyle="1">
    <w:name w:val="Bullets"/>
    <w:qFormat/>
    <w:rsid w:val="0034269e"/>
    <w:rPr>
      <w:rFonts w:ascii="OpenSymbol" w:hAnsi="OpenSymbol" w:eastAsia="OpenSymbol" w:cs="OpenSymbol"/>
    </w:rPr>
  </w:style>
  <w:style w:type="character" w:styleId="Starkbetont" w:customStyle="1">
    <w:name w:val="Stark betont"/>
    <w:qFormat/>
    <w:rsid w:val="0034269e"/>
    <w:rPr>
      <w:b/>
      <w:bCs/>
    </w:rPr>
  </w:style>
  <w:style w:type="character" w:styleId="BesuchterHyperlink1" w:customStyle="1">
    <w:name w:val="BesuchterHyperlink1"/>
    <w:qFormat/>
    <w:rsid w:val="0034269e"/>
    <w:rPr>
      <w:color w:val="800080"/>
      <w:u w:val="single"/>
    </w:rPr>
  </w:style>
  <w:style w:type="character" w:styleId="KommentartextZchn" w:customStyle="1">
    <w:name w:val="Kommentartext Zchn"/>
    <w:basedOn w:val="DefaultParagraphFont"/>
    <w:link w:val="Kommentartext"/>
    <w:uiPriority w:val="99"/>
    <w:semiHidden/>
    <w:qFormat/>
    <w:rsid w:val="0034269e"/>
    <w:rPr>
      <w:szCs w:val="20"/>
    </w:rPr>
  </w:style>
  <w:style w:type="character" w:styleId="Annotationreference">
    <w:name w:val="annotation reference"/>
    <w:basedOn w:val="DefaultParagraphFont"/>
    <w:uiPriority w:val="99"/>
    <w:semiHidden/>
    <w:unhideWhenUsed/>
    <w:qFormat/>
    <w:rsid w:val="0034269e"/>
    <w:rPr>
      <w:sz w:val="16"/>
      <w:szCs w:val="16"/>
    </w:rPr>
  </w:style>
  <w:style w:type="character" w:styleId="SprechblasentextZchn" w:customStyle="1">
    <w:name w:val="Sprechblasentext Zchn"/>
    <w:basedOn w:val="DefaultParagraphFont"/>
    <w:link w:val="Sprechblasentext"/>
    <w:uiPriority w:val="99"/>
    <w:semiHidden/>
    <w:qFormat/>
    <w:rsid w:val="0086534c"/>
    <w:rPr>
      <w:rFonts w:ascii="Tahoma" w:hAnsi="Tahoma" w:cs="Tahoma"/>
      <w:sz w:val="16"/>
      <w:szCs w:val="16"/>
    </w:rPr>
  </w:style>
  <w:style w:type="character" w:styleId="KommentarthemaZchn" w:customStyle="1">
    <w:name w:val="Kommentarthema Zchn"/>
    <w:basedOn w:val="KommentartextZchn"/>
    <w:link w:val="Kommentarthema"/>
    <w:uiPriority w:val="99"/>
    <w:semiHidden/>
    <w:qFormat/>
    <w:rsid w:val="00006ca6"/>
    <w:rPr>
      <w:b/>
      <w:bCs/>
      <w:szCs w:val="20"/>
    </w:rPr>
  </w:style>
  <w:style w:type="character" w:styleId="TextkrperZchn" w:customStyle="1">
    <w:name w:val="Textkörper Zchn"/>
    <w:basedOn w:val="DefaultParagraphFont"/>
    <w:link w:val="Textkrper"/>
    <w:qFormat/>
    <w:rsid w:val="003440c2"/>
    <w:rPr>
      <w:sz w:val="22"/>
    </w:rPr>
  </w:style>
  <w:style w:type="character" w:styleId="NurTextZchn" w:customStyle="1">
    <w:name w:val="Nur Text Zchn"/>
    <w:basedOn w:val="DefaultParagraphFont"/>
    <w:link w:val="NurText"/>
    <w:uiPriority w:val="99"/>
    <w:qFormat/>
    <w:rsid w:val="008d1d50"/>
    <w:rPr>
      <w:rFonts w:ascii="Times New Roman" w:hAnsi="Times New Roman" w:eastAsia="Times New Roman" w:cs="Times New Roman"/>
      <w:sz w:val="24"/>
      <w:szCs w:val="24"/>
      <w:lang w:eastAsia="de-DE"/>
    </w:rPr>
  </w:style>
  <w:style w:type="character" w:styleId="NichtaufgelsteErwhnung1" w:customStyle="1">
    <w:name w:val="Nicht aufgelöste Erwähnung1"/>
    <w:basedOn w:val="DefaultParagraphFont"/>
    <w:uiPriority w:val="99"/>
    <w:semiHidden/>
    <w:unhideWhenUsed/>
    <w:qFormat/>
    <w:rsid w:val="00ec2f0a"/>
    <w:rPr>
      <w:color w:val="605E5C"/>
      <w:shd w:fill="E1DFDD" w:val="clear"/>
    </w:rPr>
  </w:style>
  <w:style w:type="character" w:styleId="KopfzeileZchn" w:customStyle="1">
    <w:name w:val="Kopfzeile Zchn"/>
    <w:basedOn w:val="DefaultParagraphFont"/>
    <w:link w:val="Kopfzeile1"/>
    <w:uiPriority w:val="99"/>
    <w:qFormat/>
    <w:rsid w:val="00a10db8"/>
    <w:rPr>
      <w:sz w:val="22"/>
    </w:rPr>
  </w:style>
  <w:style w:type="character" w:styleId="FuzeileZchn" w:customStyle="1">
    <w:name w:val="Fußzeile Zchn"/>
    <w:basedOn w:val="DefaultParagraphFont"/>
    <w:link w:val="Fuzeile1"/>
    <w:uiPriority w:val="99"/>
    <w:qFormat/>
    <w:rsid w:val="00a10db8"/>
    <w:rPr>
      <w:sz w:val="22"/>
    </w:rPr>
  </w:style>
  <w:style w:type="character" w:styleId="NichtaufgelsteErwhnung2" w:customStyle="1">
    <w:name w:val="Nicht aufgelöste Erwähnung2"/>
    <w:basedOn w:val="DefaultParagraphFont"/>
    <w:uiPriority w:val="99"/>
    <w:semiHidden/>
    <w:unhideWhenUsed/>
    <w:qFormat/>
    <w:rsid w:val="00df42f7"/>
    <w:rPr>
      <w:color w:val="605E5C"/>
      <w:shd w:fill="E1DFDD" w:val="clear"/>
    </w:rPr>
  </w:style>
  <w:style w:type="character" w:styleId="BesuchteInternetverknpfung" w:customStyle="1">
    <w:name w:val="Besuchte Internetverknüpfung"/>
    <w:basedOn w:val="DefaultParagraphFont"/>
    <w:uiPriority w:val="99"/>
    <w:semiHidden/>
    <w:unhideWhenUsed/>
    <w:qFormat/>
    <w:rsid w:val="00df42f7"/>
    <w:rPr>
      <w:color w:val="800080" w:themeColor="followedHyperlink"/>
      <w:u w:val="single"/>
    </w:rPr>
  </w:style>
  <w:style w:type="character" w:styleId="Internetverknpfung" w:customStyle="1">
    <w:name w:val="Internetverknüpfung"/>
    <w:rsid w:val="00d81b00"/>
    <w:rPr>
      <w:color w:val="000080"/>
      <w:u w:val="single"/>
    </w:rPr>
  </w:style>
  <w:style w:type="character" w:styleId="Aufzhlungszeichen1" w:customStyle="1">
    <w:name w:val="Aufzählungszeichen1"/>
    <w:qFormat/>
    <w:rsid w:val="00d81b00"/>
    <w:rPr>
      <w:rFonts w:ascii="OpenSymbol" w:hAnsi="OpenSymbol" w:eastAsia="OpenSymbol" w:cs="OpenSymbol"/>
    </w:rPr>
  </w:style>
  <w:style w:type="character" w:styleId="KopfzeileZchn1" w:customStyle="1">
    <w:name w:val="Kopfzeile Zchn1"/>
    <w:basedOn w:val="DefaultParagraphFont"/>
    <w:link w:val="Kopfzeile"/>
    <w:uiPriority w:val="99"/>
    <w:qFormat/>
    <w:rsid w:val="00a21cde"/>
    <w:rPr>
      <w:sz w:val="22"/>
    </w:rPr>
  </w:style>
  <w:style w:type="character" w:styleId="FuzeileZchn1" w:customStyle="1">
    <w:name w:val="Fußzeile Zchn1"/>
    <w:basedOn w:val="DefaultParagraphFont"/>
    <w:link w:val="Fuzeile"/>
    <w:uiPriority w:val="99"/>
    <w:qFormat/>
    <w:rsid w:val="00a21cde"/>
    <w:rPr>
      <w:sz w:val="22"/>
    </w:rPr>
  </w:style>
  <w:style w:type="paragraph" w:styleId="Berschrift" w:customStyle="1">
    <w:name w:val="Überschrift"/>
    <w:basedOn w:val="Normal"/>
    <w:next w:val="Textkrper"/>
    <w:qFormat/>
    <w:rsid w:val="0034269e"/>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link w:val="TextkrperZchn"/>
    <w:rsid w:val="0034269e"/>
    <w:pPr>
      <w:spacing w:before="0" w:after="140"/>
    </w:pPr>
    <w:rPr/>
  </w:style>
  <w:style w:type="paragraph" w:styleId="Liste">
    <w:name w:val="List"/>
    <w:basedOn w:val="Textkrper"/>
    <w:rsid w:val="0034269e"/>
    <w:pPr/>
    <w:rPr>
      <w:rFonts w:cs="Lohit Devanagari"/>
    </w:rPr>
  </w:style>
  <w:style w:type="paragraph" w:styleId="Beschriftung">
    <w:name w:val="Caption"/>
    <w:basedOn w:val="Normal"/>
    <w:qFormat/>
    <w:pPr>
      <w:suppressLineNumbers/>
      <w:spacing w:before="120" w:after="120"/>
    </w:pPr>
    <w:rPr>
      <w:rFonts w:cs="Arial"/>
      <w:i/>
      <w:iCs/>
      <w:sz w:val="24"/>
      <w:szCs w:val="24"/>
    </w:rPr>
  </w:style>
  <w:style w:type="paragraph" w:styleId="Verzeichnis" w:customStyle="1">
    <w:name w:val="Verzeichnis"/>
    <w:basedOn w:val="Normal"/>
    <w:qFormat/>
    <w:rsid w:val="0034269e"/>
    <w:pPr>
      <w:suppressLineNumbers/>
    </w:pPr>
    <w:rPr>
      <w:rFonts w:cs="Lohit Devanagari"/>
    </w:rPr>
  </w:style>
  <w:style w:type="paragraph" w:styleId="Berschrift11" w:customStyle="1">
    <w:name w:val="Überschrift 11"/>
    <w:basedOn w:val="Berschrift"/>
    <w:next w:val="Textkrper"/>
    <w:qFormat/>
    <w:rsid w:val="0034269e"/>
    <w:pPr>
      <w:outlineLvl w:val="0"/>
    </w:pPr>
    <w:rPr>
      <w:b/>
      <w:bCs/>
      <w:sz w:val="36"/>
      <w:szCs w:val="36"/>
    </w:rPr>
  </w:style>
  <w:style w:type="paragraph" w:styleId="Berschrift21" w:customStyle="1">
    <w:name w:val="Überschrift 21"/>
    <w:basedOn w:val="Berschrift"/>
    <w:next w:val="Textkrper"/>
    <w:qFormat/>
    <w:rsid w:val="0034269e"/>
    <w:pPr>
      <w:spacing w:before="200" w:after="120"/>
      <w:outlineLvl w:val="1"/>
    </w:pPr>
    <w:rPr>
      <w:b/>
      <w:bCs/>
      <w:sz w:val="32"/>
      <w:szCs w:val="32"/>
    </w:rPr>
  </w:style>
  <w:style w:type="paragraph" w:styleId="Berschrift31" w:customStyle="1">
    <w:name w:val="Überschrift 31"/>
    <w:basedOn w:val="Berschrift"/>
    <w:next w:val="Textkrper"/>
    <w:qFormat/>
    <w:rsid w:val="0034269e"/>
    <w:pPr>
      <w:spacing w:before="140" w:after="120"/>
      <w:outlineLvl w:val="2"/>
    </w:pPr>
    <w:rPr>
      <w:b/>
      <w:bCs/>
    </w:rPr>
  </w:style>
  <w:style w:type="paragraph" w:styleId="Beschriftung1" w:customStyle="1">
    <w:name w:val="Beschriftung1"/>
    <w:basedOn w:val="Normal"/>
    <w:qFormat/>
    <w:rsid w:val="0034269e"/>
    <w:pPr>
      <w:suppressLineNumbers/>
      <w:spacing w:before="120" w:after="120"/>
    </w:pPr>
    <w:rPr>
      <w:rFonts w:cs="Lohit Devanagari"/>
      <w:i/>
      <w:iCs/>
      <w:sz w:val="24"/>
      <w:szCs w:val="24"/>
    </w:rPr>
  </w:style>
  <w:style w:type="paragraph" w:styleId="Berschrift51" w:customStyle="1">
    <w:name w:val="Überschrift 51"/>
    <w:basedOn w:val="Berschrift"/>
    <w:qFormat/>
    <w:rsid w:val="0034269e"/>
    <w:pPr>
      <w:spacing w:before="120" w:after="60"/>
      <w:outlineLvl w:val="4"/>
    </w:pPr>
    <w:rPr>
      <w:rFonts w:ascii="Liberation Serif" w:hAnsi="Liberation Serif" w:eastAsia="DejaVu Sans" w:cs="DejaVu Sans"/>
      <w:b/>
      <w:bCs/>
      <w:sz w:val="20"/>
      <w:szCs w:val="20"/>
    </w:rPr>
  </w:style>
  <w:style w:type="paragraph" w:styleId="RGVberschrift1" w:customStyle="1">
    <w:name w:val="RGV-Überschrift1"/>
    <w:basedOn w:val="Berschrift"/>
    <w:qFormat/>
    <w:rsid w:val="0034269e"/>
    <w:pPr>
      <w:suppressLineNumbers/>
    </w:pPr>
    <w:rPr>
      <w:b/>
      <w:bCs/>
      <w:sz w:val="32"/>
      <w:szCs w:val="32"/>
    </w:rPr>
  </w:style>
  <w:style w:type="paragraph" w:styleId="Verzeichnis11" w:customStyle="1">
    <w:name w:val="Verzeichnis 11"/>
    <w:basedOn w:val="Normal"/>
    <w:autoRedefine/>
    <w:uiPriority w:val="39"/>
    <w:unhideWhenUsed/>
    <w:qFormat/>
    <w:rsid w:val="00457066"/>
    <w:pPr>
      <w:spacing w:before="0" w:after="100"/>
    </w:pPr>
    <w:rPr/>
  </w:style>
  <w:style w:type="paragraph" w:styleId="Verzeichnis21" w:customStyle="1">
    <w:name w:val="Verzeichnis 21"/>
    <w:basedOn w:val="Normal"/>
    <w:autoRedefine/>
    <w:uiPriority w:val="39"/>
    <w:unhideWhenUsed/>
    <w:qFormat/>
    <w:rsid w:val="00457066"/>
    <w:pPr>
      <w:spacing w:before="0" w:after="100"/>
      <w:ind w:left="220" w:hanging="0"/>
    </w:pPr>
    <w:rPr/>
  </w:style>
  <w:style w:type="paragraph" w:styleId="Verzeichnis51" w:customStyle="1">
    <w:name w:val="Verzeichnis 51"/>
    <w:basedOn w:val="Verzeichnis"/>
    <w:qFormat/>
    <w:rsid w:val="0034269e"/>
    <w:pPr>
      <w:tabs>
        <w:tab w:val="clear" w:pos="720"/>
        <w:tab w:val="right" w:pos="7940" w:leader="dot"/>
      </w:tabs>
      <w:ind w:left="1132" w:hanging="0"/>
    </w:pPr>
    <w:rPr/>
  </w:style>
  <w:style w:type="paragraph" w:styleId="Verzeichnis31" w:customStyle="1">
    <w:name w:val="Verzeichnis 31"/>
    <w:basedOn w:val="Normal"/>
    <w:autoRedefine/>
    <w:uiPriority w:val="39"/>
    <w:unhideWhenUsed/>
    <w:qFormat/>
    <w:rsid w:val="00457066"/>
    <w:pPr>
      <w:spacing w:before="0" w:after="100"/>
      <w:ind w:left="440" w:hanging="0"/>
    </w:pPr>
    <w:rPr/>
  </w:style>
  <w:style w:type="paragraph" w:styleId="Annotationtext">
    <w:name w:val="annotation text"/>
    <w:basedOn w:val="Normal"/>
    <w:link w:val="KommentartextZchn"/>
    <w:uiPriority w:val="99"/>
    <w:semiHidden/>
    <w:unhideWhenUsed/>
    <w:qFormat/>
    <w:rsid w:val="0034269e"/>
    <w:pPr>
      <w:spacing w:lineRule="auto" w:line="240"/>
    </w:pPr>
    <w:rPr>
      <w:sz w:val="20"/>
      <w:szCs w:val="20"/>
    </w:rPr>
  </w:style>
  <w:style w:type="paragraph" w:styleId="BalloonText">
    <w:name w:val="Balloon Text"/>
    <w:basedOn w:val="Normal"/>
    <w:link w:val="SprechblasentextZchn"/>
    <w:uiPriority w:val="99"/>
    <w:semiHidden/>
    <w:unhideWhenUsed/>
    <w:qFormat/>
    <w:rsid w:val="0086534c"/>
    <w:pPr>
      <w:spacing w:lineRule="auto" w:line="240" w:before="0" w:after="0"/>
    </w:pPr>
    <w:rPr>
      <w:rFonts w:ascii="Tahoma" w:hAnsi="Tahoma" w:cs="Tahoma"/>
      <w:sz w:val="16"/>
      <w:szCs w:val="16"/>
    </w:rPr>
  </w:style>
  <w:style w:type="paragraph" w:styleId="Annotationsubject">
    <w:name w:val="annotation subject"/>
    <w:basedOn w:val="Annotationtext"/>
    <w:link w:val="KommentarthemaZchn"/>
    <w:uiPriority w:val="99"/>
    <w:semiHidden/>
    <w:unhideWhenUsed/>
    <w:qFormat/>
    <w:rsid w:val="00006ca6"/>
    <w:pPr/>
    <w:rPr>
      <w:b/>
      <w:bCs/>
    </w:rPr>
  </w:style>
  <w:style w:type="paragraph" w:styleId="PlainText">
    <w:name w:val="Plain Text"/>
    <w:basedOn w:val="Normal"/>
    <w:link w:val="NurTextZchn"/>
    <w:uiPriority w:val="99"/>
    <w:unhideWhenUsed/>
    <w:qFormat/>
    <w:rsid w:val="008d1d50"/>
    <w:pPr>
      <w:spacing w:lineRule="auto" w:line="240" w:beforeAutospacing="1" w:afterAutospacing="1"/>
    </w:pPr>
    <w:rPr>
      <w:rFonts w:ascii="Times New Roman" w:hAnsi="Times New Roman" w:eastAsia="Times New Roman" w:cs="Times New Roman"/>
      <w:sz w:val="24"/>
      <w:szCs w:val="24"/>
      <w:lang w:eastAsia="de-DE"/>
    </w:rPr>
  </w:style>
  <w:style w:type="paragraph" w:styleId="ListParagraph">
    <w:name w:val="List Paragraph"/>
    <w:basedOn w:val="Normal"/>
    <w:uiPriority w:val="34"/>
    <w:qFormat/>
    <w:rsid w:val="00094837"/>
    <w:pPr>
      <w:spacing w:before="0" w:after="200"/>
      <w:ind w:left="720" w:hanging="0"/>
      <w:contextualSpacing/>
    </w:pPr>
    <w:rPr/>
  </w:style>
  <w:style w:type="paragraph" w:styleId="KopfundFuzeile" w:customStyle="1">
    <w:name w:val="Kopf- und Fußzeile"/>
    <w:basedOn w:val="Normal"/>
    <w:qFormat/>
    <w:rsid w:val="00d81b00"/>
    <w:pPr/>
    <w:rPr/>
  </w:style>
  <w:style w:type="paragraph" w:styleId="Kopfzeile1" w:customStyle="1">
    <w:name w:val="Kopfzeile1"/>
    <w:basedOn w:val="Normal"/>
    <w:link w:val="KopfzeileZchn"/>
    <w:uiPriority w:val="99"/>
    <w:unhideWhenUsed/>
    <w:qFormat/>
    <w:rsid w:val="00a10db8"/>
    <w:pPr>
      <w:tabs>
        <w:tab w:val="clear" w:pos="720"/>
        <w:tab w:val="center" w:pos="4536" w:leader="none"/>
        <w:tab w:val="right" w:pos="9072" w:leader="none"/>
      </w:tabs>
      <w:spacing w:lineRule="auto" w:line="240" w:before="0" w:after="0"/>
    </w:pPr>
    <w:rPr/>
  </w:style>
  <w:style w:type="paragraph" w:styleId="Fuzeile1" w:customStyle="1">
    <w:name w:val="Fußzeile1"/>
    <w:basedOn w:val="Normal"/>
    <w:link w:val="FuzeileZchn"/>
    <w:uiPriority w:val="99"/>
    <w:unhideWhenUsed/>
    <w:qFormat/>
    <w:rsid w:val="00a10db8"/>
    <w:pPr>
      <w:tabs>
        <w:tab w:val="clear" w:pos="720"/>
        <w:tab w:val="center" w:pos="4536" w:leader="none"/>
        <w:tab w:val="right" w:pos="9072" w:leader="none"/>
      </w:tabs>
      <w:spacing w:lineRule="auto" w:line="240" w:before="0" w:after="0"/>
    </w:pPr>
    <w:rPr/>
  </w:style>
  <w:style w:type="paragraph" w:styleId="Revision">
    <w:name w:val="Revision"/>
    <w:uiPriority w:val="99"/>
    <w:semiHidden/>
    <w:qFormat/>
    <w:rsid w:val="003f5743"/>
    <w:pPr>
      <w:widowControl/>
      <w:suppressAutoHyphens w:val="true"/>
      <w:bidi w:val="0"/>
      <w:spacing w:before="0" w:after="0"/>
      <w:jc w:val="left"/>
    </w:pPr>
    <w:rPr>
      <w:rFonts w:ascii="Calibri" w:hAnsi="Calibri" w:eastAsia="Calibri" w:cs="DejaVu Sans"/>
      <w:color w:val="auto"/>
      <w:kern w:val="0"/>
      <w:sz w:val="22"/>
      <w:szCs w:val="22"/>
      <w:lang w:val="de-DE" w:eastAsia="en-US" w:bidi="ar-SA"/>
    </w:rPr>
  </w:style>
  <w:style w:type="paragraph" w:styleId="Rahmeninhalt" w:customStyle="1">
    <w:name w:val="Rahmeninhalt"/>
    <w:basedOn w:val="Normal"/>
    <w:qFormat/>
    <w:rsid w:val="00d81b00"/>
    <w:pPr/>
    <w:rPr/>
  </w:style>
  <w:style w:type="paragraph" w:styleId="Tabelleninhalt" w:customStyle="1">
    <w:name w:val="Tabelleninhalt"/>
    <w:basedOn w:val="Normal"/>
    <w:qFormat/>
    <w:pPr>
      <w:suppressLineNumbers/>
    </w:pPr>
    <w:rPr/>
  </w:style>
  <w:style w:type="paragraph" w:styleId="Tabellenberschrift" w:customStyle="1">
    <w:name w:val="Tabellenüberschrift"/>
    <w:basedOn w:val="Tabelleninhalt"/>
    <w:qFormat/>
    <w:pPr>
      <w:jc w:val="center"/>
    </w:pPr>
    <w:rPr>
      <w:b/>
      <w:bCs/>
    </w:rPr>
  </w:style>
  <w:style w:type="paragraph" w:styleId="Kopfzeile">
    <w:name w:val="Header"/>
    <w:basedOn w:val="Normal"/>
    <w:link w:val="KopfzeileZchn1"/>
    <w:uiPriority w:val="99"/>
    <w:unhideWhenUsed/>
    <w:rsid w:val="00a21cde"/>
    <w:pPr>
      <w:tabs>
        <w:tab w:val="clear" w:pos="720"/>
        <w:tab w:val="center" w:pos="4536" w:leader="none"/>
        <w:tab w:val="right" w:pos="9072" w:leader="none"/>
      </w:tabs>
      <w:spacing w:lineRule="auto" w:line="240" w:before="0" w:after="0"/>
    </w:pPr>
    <w:rPr/>
  </w:style>
  <w:style w:type="paragraph" w:styleId="Fuzeile">
    <w:name w:val="Footer"/>
    <w:basedOn w:val="Normal"/>
    <w:link w:val="FuzeileZchn1"/>
    <w:uiPriority w:val="99"/>
    <w:unhideWhenUsed/>
    <w:rsid w:val="00a21cde"/>
    <w:pPr>
      <w:tabs>
        <w:tab w:val="clear" w:pos="720"/>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table" w:styleId="Tabellenraster">
    <w:name w:val="Table Grid"/>
    <w:basedOn w:val="NormaleTabelle"/>
    <w:uiPriority w:val="59"/>
    <w:semiHidden/>
    <w:unhideWhenUsed/>
    <w:rsid w:val="0097746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olare-stadt.de/main-spessart/Solarpotenzialkataster" TargetMode="External"/><Relationship Id="rId3" Type="http://schemas.openxmlformats.org/officeDocument/2006/relationships/hyperlink" Target="https://www.solare-stadt.de/main-spessart" TargetMode="External"/><Relationship Id="rId4" Type="http://schemas.openxmlformats.org/officeDocument/2006/relationships/hyperlink" Target="https://www.verbraucherzentrale-bayern.de/wissen/energie/erneuerbare-energien/photovoltaik-was-bei-der-planung-einer-solaranlage-wichtig-ist-5574" TargetMode="External"/><Relationship Id="rId5" Type="http://schemas.openxmlformats.org/officeDocument/2006/relationships/hyperlink" Target="mailto:solar.oekokreis@gmx.de" TargetMode="External"/><Relationship Id="rId6" Type="http://schemas.openxmlformats.org/officeDocument/2006/relationships/hyperlink" Target="https://www.energie-effizienz-experten.de/" TargetMode="External"/><Relationship Id="rId7" Type="http://schemas.openxmlformats.org/officeDocument/2006/relationships/hyperlink" Target="https://www.solare-stadt.de/main-spessart/Planungshinweise" TargetMode="External"/><Relationship Id="rId8" Type="http://schemas.openxmlformats.org/officeDocument/2006/relationships/hyperlink" Target="https://www.marktstammdatenregister.de/MaStRHilfe/subpages/registrierungVerpflichtet.html" TargetMode="External"/><Relationship Id="rId9" Type="http://schemas.openxmlformats.org/officeDocument/2006/relationships/hyperlink" Target="https://www.bundesnetzagentur.de/DE/Sachgebiete/ElektrizitaetundGas/Verbraucher/Vertragsarten/Mieterstrom/Mieterstrom_node.html"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yperlink" Target="https://www.solare-stadt.de/main-spessart/Solarpotenzialkataster" TargetMode="External"/><Relationship Id="rId14" Type="http://schemas.openxmlformats.org/officeDocument/2006/relationships/hyperlink" Target="https://www.verbraucherzentrale-bayern.de/wissen/energie/erneuerbare-energien/photovoltaik-was-bei-der-planung-einer-solaranlage-wichtig-ist-5574" TargetMode="External"/><Relationship Id="rId15" Type="http://schemas.openxmlformats.org/officeDocument/2006/relationships/hyperlink" Target="https://www.verbraucherzentrale-bayern.de/aktuelle-meldungen/energie/eignungscheck-solar-38251" TargetMode="External"/><Relationship Id="rId16" Type="http://schemas.openxmlformats.org/officeDocument/2006/relationships/hyperlink" Target="https://www.energie-effizienz-experten.de/" TargetMode="External"/><Relationship Id="rId17" Type="http://schemas.openxmlformats.org/officeDocument/2006/relationships/hyperlink" Target="https://www.klimaschutz.de/projekt/energiekarawane-gegen-den-sanierungsstau" TargetMode="External"/><Relationship Id="rId18" Type="http://schemas.openxmlformats.org/officeDocument/2006/relationships/hyperlink" Target="https://www.elektrohandwerk.de/privat/themen/energieeffizienz/eigenstrom.html" TargetMode="External"/><Relationship Id="rId19" Type="http://schemas.openxmlformats.org/officeDocument/2006/relationships/hyperlink" Target="https://www.verbraucherzentrale.nrw/aktuelle-meldungen/energie/was-kostet-eine-photovoltaikanlage-49155" TargetMode="External"/><Relationship Id="rId20" Type="http://schemas.openxmlformats.org/officeDocument/2006/relationships/hyperlink" Target="../../../C:/D:/Barbara/%25C3%2596kokreis/Siehe" TargetMode="External"/><Relationship Id="rId21" Type="http://schemas.openxmlformats.org/officeDocument/2006/relationships/hyperlink" Target="https://energieagenturen.bayern/hp5837/Foerderkompass.htm" TargetMode="External"/><Relationship Id="rId22" Type="http://schemas.openxmlformats.org/officeDocument/2006/relationships/hyperlink" Target="https://www.verbraucherzentrale-bayern.de/wissen/geld-versicherungen/kredit-schulden-insolvenz/kredite-und-darlehen-auch-beim-geldleihen-laesst-sich-sparen-10409" TargetMode="External"/><Relationship Id="rId23" Type="http://schemas.openxmlformats.org/officeDocument/2006/relationships/hyperlink" Target="https://www.verbraucherzentrale-bayern.de/wissen/energie/erneuerbare-energien/photovoltaik-was-bei-der-planung-einer-solaranlage-wichtig-ist-5574" TargetMode="External"/><Relationship Id="rId24" Type="http://schemas.openxmlformats.org/officeDocument/2006/relationships/hyperlink" Target="https://www.evg-gemuenden.de/" TargetMode="External"/><Relationship Id="rId25" Type="http://schemas.openxmlformats.org/officeDocument/2006/relationships/hyperlink" Target="https://www.verbraucherzentrale-bayern.de/wissen/energie/erneuerbare-energien/photovoltaik-was-bei-der-planung-einer-solaranlage-wichtig-ist-5574" TargetMode="External"/><Relationship Id="rId26" Type="http://schemas.openxmlformats.org/officeDocument/2006/relationships/hyperlink" Target="https://www.verbraucherzentrale-bayern.de/wissen/energie/erneuerbare-energien/photovoltaik-was-bei-der-planung-einer-solaranlage-wichtig-ist-5574" TargetMode="External"/><Relationship Id="rId27" Type="http://schemas.openxmlformats.org/officeDocument/2006/relationships/hyperlink" Target="https://www.verbraucherzentrale-bayern.de/wissen/energie/erneuerbare-energien/photovoltaik-was-bei-der-planung-einer-solaranlage-wichtig-ist-5574" TargetMode="External"/><Relationship Id="rId28" Type="http://schemas.openxmlformats.org/officeDocument/2006/relationships/hyperlink" Target="https://www.oeko.de/fileadmin/oekodoc/Foerderkriterien_PV-Batteriespeicher_EWS.pdf" TargetMode="External"/><Relationship Id="rId29" Type="http://schemas.openxmlformats.org/officeDocument/2006/relationships/hyperlink" Target="https://www.autarq.com/?gclid=Cj0KCQjwvr6EBhDOARIsAPpqUPHV0tXddD3qU_9cNs-59uOQEpq71lApOr5X65T_86dZJjpaBXgzGR4aAnRzEALw_wcB" TargetMode="External"/><Relationship Id="rId30" Type="http://schemas.openxmlformats.org/officeDocument/2006/relationships/hyperlink" Target="https://www.kompetenz-zentrum-energie.de/photovoltaik/solardachziegel/?gclid=Cj0KCQjwvr6EBhDOARIsAPpqUPF_mb2l6111q01wtvm6jqtgp6HcHuRnqknpuETIc0tfouPboOcKAi8aAg0fEALw_wcB" TargetMode="External"/><Relationship Id="rId31" Type="http://schemas.openxmlformats.org/officeDocument/2006/relationships/hyperlink" Target="https://www.test.de/thema/photovoltaik/" TargetMode="External"/><Relationship Id="rId32" Type="http://schemas.openxmlformats.org/officeDocument/2006/relationships/hyperlink" Target="https://www.ise.fraunhofer.de/de/veroeffentlichungen/studien/aktuelle-fakten-zur-photovoltaik-in-deutschland.html" TargetMode="External"/><Relationship Id="rId33" Type="http://schemas.openxmlformats.org/officeDocument/2006/relationships/hyperlink" Target="../../../C:/energieagentur.nrw" TargetMode="External"/><Relationship Id="rId34" Type="http://schemas.openxmlformats.org/officeDocument/2006/relationships/hyperlink" Target="https://www.main-spessart.de/themen/bauen-wohnen/energie--klimaschutz/index.html" TargetMode="External"/><Relationship Id="rId35" Type="http://schemas.openxmlformats.org/officeDocument/2006/relationships/hyperlink" Target="https://www.main-spessart.de/themen/bauen-wohnen/energie--klimaschutz/projekte-im-landkreis/531.Vortragsreihe-Energie-und-Klimaschutz-fuer-jedermann.html" TargetMode="External"/><Relationship Id="rId36" Type="http://schemas.openxmlformats.org/officeDocument/2006/relationships/hyperlink" Target="http://www.gesetze-im-internet.de/geg/GEG.pdf" TargetMode="External"/><Relationship Id="rId37" Type="http://schemas.openxmlformats.org/officeDocument/2006/relationships/hyperlink" Target="https://www.bundesnetzagentur.de/DE/Sachgebiete/ElektrizitaetundGas/Verbraucher/Vertragsarten/Mieterstrom/Mieterstrom_node.html" TargetMode="External"/><Relationship Id="rId38" Type="http://schemas.openxmlformats.org/officeDocument/2006/relationships/hyperlink" Target="https://www.misereor.de/fileadmin/publikationen/studie-rohstoffe-fuer-die-energiewende.pdf" TargetMode="External"/><Relationship Id="rId39" Type="http://schemas.openxmlformats.org/officeDocument/2006/relationships/hyperlink" Target="../../../C:/D:/Barbara/%25C3%2596kokreis/www.welt.de/wirtschaft/article176294243/Studie-Umweltrisiken-durch-Schadstoffe-in-Solarmodulen.html" TargetMode="External"/><Relationship Id="rId40" Type="http://schemas.openxmlformats.org/officeDocument/2006/relationships/hyperlink" Target="../../../C:/D:/Barbara/%25C3%2596kokreis/(https:/www.photovoltaik.org/hersteller%20)%0A" TargetMode="External"/><Relationship Id="rId41" Type="http://schemas.openxmlformats.org/officeDocument/2006/relationships/hyperlink" Target="https://www.photovoltaik.org/wissen/energetische-amortisation" TargetMode="External"/><Relationship Id="rId42" Type="http://schemas.openxmlformats.org/officeDocument/2006/relationships/hyperlink" Target="https://www.ingenieur.de/technik/fachbereiche/energie/chinesische-solarzellen-verheerende-umweltbilanz/" TargetMode="External"/><Relationship Id="rId43" Type="http://schemas.openxmlformats.org/officeDocument/2006/relationships/hyperlink" Target="https://deutsche-recycling.de/blog/weee2-recycling-von-photovoltaik-" TargetMode="External"/><Relationship Id="rId44" Type="http://schemas.openxmlformats.org/officeDocument/2006/relationships/hyperlink" Target="https://www.solaranlage.eu/photovoltaik/betrieb/nachhaltigkeit/pv-recycling" TargetMode="External"/><Relationship Id="rId45" Type="http://schemas.openxmlformats.org/officeDocument/2006/relationships/hyperlink" Target="https://www.energieatlas.bayern.de/thema_sonne/photovoltaik/umweltaspekte.html" TargetMode="External"/><Relationship Id="rId46" Type="http://schemas.openxmlformats.org/officeDocument/2006/relationships/hyperlink" Target="https://x2e-se.de/photovoltaik-solar/ist-elektrosmog-von-photovoltaikanlagen-gesundheitsschaedlich" TargetMode="External"/><Relationship Id="rId47" Type="http://schemas.openxmlformats.org/officeDocument/2006/relationships/header" Target="header3.xml"/><Relationship Id="rId48" Type="http://schemas.openxmlformats.org/officeDocument/2006/relationships/footer" Target="footer2.xml"/><Relationship Id="rId49" Type="http://schemas.openxmlformats.org/officeDocument/2006/relationships/hyperlink" Target="https://www.solare-stadt.de/main-spessart/Solarpotenzialkataster" TargetMode="External"/><Relationship Id="rId50" Type="http://schemas.openxmlformats.org/officeDocument/2006/relationships/image" Target="media/image1.png"/><Relationship Id="rId51" Type="http://schemas.openxmlformats.org/officeDocument/2006/relationships/image" Target="media/image2.png"/><Relationship Id="rId52" Type="http://schemas.openxmlformats.org/officeDocument/2006/relationships/image" Target="media/image3.png"/><Relationship Id="rId53" Type="http://schemas.openxmlformats.org/officeDocument/2006/relationships/image" Target="media/image4.png"/><Relationship Id="rId54" Type="http://schemas.openxmlformats.org/officeDocument/2006/relationships/image" Target="media/image5.png"/><Relationship Id="rId55" Type="http://schemas.openxmlformats.org/officeDocument/2006/relationships/image" Target="media/image6.png"/><Relationship Id="rId56" Type="http://schemas.openxmlformats.org/officeDocument/2006/relationships/image" Target="media/image7.png"/><Relationship Id="rId57" Type="http://schemas.openxmlformats.org/officeDocument/2006/relationships/image" Target="media/image8.jpeg"/><Relationship Id="rId58" Type="http://schemas.openxmlformats.org/officeDocument/2006/relationships/image" Target="media/image9.jpeg"/><Relationship Id="rId59" Type="http://schemas.openxmlformats.org/officeDocument/2006/relationships/image" Target="media/image10.jpeg"/><Relationship Id="rId60" Type="http://schemas.openxmlformats.org/officeDocument/2006/relationships/header" Target="header4.xml"/><Relationship Id="rId61" Type="http://schemas.openxmlformats.org/officeDocument/2006/relationships/footer" Target="footer3.xml"/><Relationship Id="rId62" Type="http://schemas.openxmlformats.org/officeDocument/2006/relationships/numbering" Target="numbering.xml"/><Relationship Id="rId63" Type="http://schemas.openxmlformats.org/officeDocument/2006/relationships/fontTable" Target="fontTable.xml"/><Relationship Id="rId64" Type="http://schemas.openxmlformats.org/officeDocument/2006/relationships/settings" Target="settings.xml"/><Relationship Id="rId65" Type="http://schemas.openxmlformats.org/officeDocument/2006/relationships/theme" Target="theme/theme1.xml"/><Relationship Id="rId66" Type="http://schemas.openxmlformats.org/officeDocument/2006/relationships/customXml" Target="../customXml/item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268FF6-1479-4950-BB1B-1322F2B5D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LibreOffice/6.4.1.2$Windows_X86_64 LibreOffice_project/4d224e95b98b138af42a64d84056446d09082932</Application>
  <Pages>21</Pages>
  <Words>2757</Words>
  <Characters>19893</Characters>
  <CharactersWithSpaces>22418</CharactersWithSpaces>
  <Paragraphs>351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2021-10-06T17:31:00Z</dcterms:created>
  <dc:creator>Ruth</dc:creator>
  <dc:description/>
  <dc:language>en-GB</dc:language>
  <cp:lastModifiedBy/>
  <cp:lastPrinted>2021-06-30T20:46:00Z</cp:lastPrinted>
  <dcterms:modified xsi:type="dcterms:W3CDTF">2021-11-03T10:02:21Z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